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562"/>
        <w:gridCol w:w="3305"/>
        <w:gridCol w:w="5143"/>
      </w:tblGrid>
      <w:tr w:rsidR="00B10D33" w:rsidTr="00B10D33">
        <w:tc>
          <w:tcPr>
            <w:tcW w:w="562" w:type="dxa"/>
            <w:shd w:val="clear" w:color="auto" w:fill="000000" w:themeFill="text1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AD7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305" w:type="dxa"/>
            <w:shd w:val="clear" w:color="auto" w:fill="000000" w:themeFill="text1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5143" w:type="dxa"/>
            <w:shd w:val="clear" w:color="auto" w:fill="000000" w:themeFill="text1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</w:tr>
      <w:tr w:rsidR="00B10D33" w:rsidTr="00B10D33">
        <w:trPr>
          <w:trHeight w:val="255"/>
        </w:trPr>
        <w:tc>
          <w:tcPr>
            <w:tcW w:w="9010" w:type="dxa"/>
            <w:gridSpan w:val="3"/>
          </w:tcPr>
          <w:p w:rsidR="00B10D33" w:rsidRPr="00D75165" w:rsidRDefault="00B10D33" w:rsidP="00B10D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Selection</w:t>
            </w:r>
          </w:p>
        </w:tc>
      </w:tr>
      <w:tr w:rsidR="00B10D33" w:rsidTr="00B10D33">
        <w:tc>
          <w:tcPr>
            <w:tcW w:w="562" w:type="dxa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5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Representativeness of the exposed cohort</w:t>
            </w:r>
          </w:p>
        </w:tc>
        <w:tc>
          <w:tcPr>
            <w:tcW w:w="5143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Somewhat representative. Patients were adults with calcium oxalate stone formation and had three or more visits to Metabolic Stone Clinic and three or more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Urorisk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Diagnostic profiles. Subjects in exposed cohorts were using lemonade (group cohort).</w:t>
            </w:r>
          </w:p>
        </w:tc>
      </w:tr>
      <w:tr w:rsidR="00B10D33" w:rsidTr="00B10D33">
        <w:tc>
          <w:tcPr>
            <w:tcW w:w="562" w:type="dxa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5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Selection of the non-exposed cohort</w:t>
            </w:r>
          </w:p>
        </w:tc>
        <w:tc>
          <w:tcPr>
            <w:tcW w:w="5143" w:type="dxa"/>
          </w:tcPr>
          <w:p w:rsidR="00B10D33" w:rsidRPr="001C1815" w:rsidRDefault="00B10D33" w:rsidP="00B10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Subjects in non-exposed cohort were d</w:t>
            </w:r>
            <w:r w:rsidRPr="001C1815">
              <w:rPr>
                <w:rFonts w:ascii="Times New Roman" w:hAnsi="Times New Roman" w:cs="Times New Roman"/>
                <w:sz w:val="20"/>
                <w:szCs w:val="20"/>
              </w:rPr>
              <w:t>rawn from the same community as the exposed cohort.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Subjects in non-exposed cohort were using lemonade therapy and potassium citrate.</w:t>
            </w:r>
          </w:p>
        </w:tc>
      </w:tr>
      <w:tr w:rsidR="00B10D33" w:rsidTr="00B10D33">
        <w:tc>
          <w:tcPr>
            <w:tcW w:w="562" w:type="dxa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5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Ascertainment of exposure</w:t>
            </w:r>
          </w:p>
        </w:tc>
        <w:tc>
          <w:tcPr>
            <w:tcW w:w="5143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Ascertainment of exposure were retrieved from medical records.</w:t>
            </w:r>
          </w:p>
        </w:tc>
      </w:tr>
      <w:tr w:rsidR="00B10D33" w:rsidTr="00B10D33">
        <w:tc>
          <w:tcPr>
            <w:tcW w:w="562" w:type="dxa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5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 that outcome of interest was not present at start of study</w:t>
            </w:r>
          </w:p>
        </w:tc>
        <w:tc>
          <w:tcPr>
            <w:tcW w:w="5143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Outcome was urine profile after.</w:t>
            </w:r>
          </w:p>
        </w:tc>
      </w:tr>
      <w:tr w:rsidR="00B10D33" w:rsidTr="00B10D33">
        <w:tc>
          <w:tcPr>
            <w:tcW w:w="9010" w:type="dxa"/>
            <w:gridSpan w:val="3"/>
          </w:tcPr>
          <w:p w:rsidR="00B10D33" w:rsidRPr="00D75165" w:rsidRDefault="00B10D33" w:rsidP="00B10D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Comparability</w:t>
            </w:r>
          </w:p>
        </w:tc>
      </w:tr>
      <w:tr w:rsidR="00B10D33" w:rsidTr="00B10D33">
        <w:tc>
          <w:tcPr>
            <w:tcW w:w="562" w:type="dxa"/>
          </w:tcPr>
          <w:p w:rsidR="00B10D33" w:rsidRPr="00B96AD7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5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Comparability of cohorts on the basis of the design or analysis</w:t>
            </w:r>
          </w:p>
        </w:tc>
        <w:tc>
          <w:tcPr>
            <w:tcW w:w="5143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 controls for its diet.</w:t>
            </w:r>
          </w:p>
        </w:tc>
      </w:tr>
      <w:tr w:rsidR="00B10D33" w:rsidTr="00B10D33">
        <w:tc>
          <w:tcPr>
            <w:tcW w:w="9010" w:type="dxa"/>
            <w:gridSpan w:val="3"/>
          </w:tcPr>
          <w:p w:rsidR="00B10D33" w:rsidRPr="00D75165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Outcome</w:t>
            </w:r>
          </w:p>
        </w:tc>
      </w:tr>
      <w:tr w:rsidR="00B10D33" w:rsidTr="00B10D33">
        <w:tc>
          <w:tcPr>
            <w:tcW w:w="562" w:type="dxa"/>
          </w:tcPr>
          <w:p w:rsidR="00B10D33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5" w:type="dxa"/>
          </w:tcPr>
          <w:p w:rsidR="00B10D33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of outcome</w:t>
            </w:r>
          </w:p>
        </w:tc>
        <w:tc>
          <w:tcPr>
            <w:tcW w:w="5143" w:type="dxa"/>
          </w:tcPr>
          <w:p w:rsidR="00B10D33" w:rsidRPr="001A38FB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A38FB">
              <w:rPr>
                <w:rFonts w:ascii="Times New Roman" w:hAnsi="Times New Roman" w:cs="Times New Roman"/>
                <w:sz w:val="20"/>
                <w:szCs w:val="20"/>
              </w:rPr>
              <w:t xml:space="preserve">onfirmation of the outcome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came from</w:t>
            </w:r>
            <w:r w:rsidRPr="001A38FB">
              <w:rPr>
                <w:rFonts w:ascii="Times New Roman" w:hAnsi="Times New Roman" w:cs="Times New Roman"/>
                <w:sz w:val="20"/>
                <w:szCs w:val="20"/>
              </w:rPr>
              <w:t xml:space="preserve"> secure records</w:t>
            </w:r>
          </w:p>
        </w:tc>
      </w:tr>
      <w:tr w:rsidR="00B10D33" w:rsidTr="00B10D33">
        <w:tc>
          <w:tcPr>
            <w:tcW w:w="562" w:type="dxa"/>
          </w:tcPr>
          <w:p w:rsidR="00B10D33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5" w:type="dxa"/>
          </w:tcPr>
          <w:p w:rsidR="00B10D33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 follow-up long enough for outcomes to occur</w:t>
            </w:r>
          </w:p>
        </w:tc>
        <w:tc>
          <w:tcPr>
            <w:tcW w:w="5143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is retrospective cohort. However, the follow up was enough</w:t>
            </w:r>
          </w:p>
        </w:tc>
      </w:tr>
      <w:tr w:rsidR="00B10D33" w:rsidTr="00B10D33">
        <w:trPr>
          <w:trHeight w:val="199"/>
        </w:trPr>
        <w:tc>
          <w:tcPr>
            <w:tcW w:w="562" w:type="dxa"/>
          </w:tcPr>
          <w:p w:rsidR="00B10D33" w:rsidRDefault="00B10D33" w:rsidP="00B10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5" w:type="dxa"/>
          </w:tcPr>
          <w:p w:rsidR="00B10D33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Adequacy of follow up of cohorts</w:t>
            </w:r>
          </w:p>
        </w:tc>
        <w:tc>
          <w:tcPr>
            <w:tcW w:w="5143" w:type="dxa"/>
          </w:tcPr>
          <w:p w:rsidR="00B10D33" w:rsidRPr="00B96AD7" w:rsidRDefault="00B10D33" w:rsidP="00B10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the data were available.</w:t>
            </w:r>
          </w:p>
        </w:tc>
      </w:tr>
    </w:tbl>
    <w:p w:rsidR="00A0026A" w:rsidRPr="00B10D33" w:rsidRDefault="00B10D33">
      <w:pPr>
        <w:rPr>
          <w:rFonts w:ascii="Times New Roman" w:hAnsi="Times New Roman" w:cs="Times New Roman"/>
          <w:b/>
        </w:rPr>
      </w:pPr>
      <w:bookmarkStart w:id="0" w:name="_GoBack"/>
      <w:r w:rsidRPr="00B10D33">
        <w:rPr>
          <w:rFonts w:ascii="Times New Roman" w:hAnsi="Times New Roman" w:cs="Times New Roman"/>
          <w:b/>
        </w:rPr>
        <w:t xml:space="preserve">Supplementary Table 1: </w:t>
      </w:r>
      <w:r w:rsidRPr="00B10D33">
        <w:rPr>
          <w:rFonts w:ascii="Times New Roman" w:hAnsi="Times New Roman" w:cs="Times New Roman"/>
          <w:b/>
        </w:rPr>
        <w:t>Newcastle-Ottawa scale for retrospective study’s risk of bias assessment</w:t>
      </w:r>
      <w:r>
        <w:rPr>
          <w:rFonts w:ascii="Times New Roman" w:hAnsi="Times New Roman" w:cs="Times New Roman"/>
          <w:b/>
        </w:rPr>
        <w:t>.</w:t>
      </w:r>
      <w:bookmarkEnd w:id="0"/>
    </w:p>
    <w:sectPr w:rsidR="00A0026A" w:rsidRPr="00B1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33"/>
    <w:rsid w:val="002015E5"/>
    <w:rsid w:val="00A0026A"/>
    <w:rsid w:val="00B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1766-FAA5-40BD-AD84-529AE5B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3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D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2017-02-17T12:41:00Z</dcterms:created>
  <dcterms:modified xsi:type="dcterms:W3CDTF">2017-02-17T12:42:00Z</dcterms:modified>
</cp:coreProperties>
</file>