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01755" w:rsidRDefault="00B95592">
      <w:pPr>
        <w:spacing w:before="0"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114300" distB="114300" distL="114300" distR="114300">
            <wp:extent cx="1541892" cy="11525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1892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1755" w:rsidRDefault="00B95592">
      <w:pPr>
        <w:spacing w:before="0"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EXCELERATE</w:t>
      </w:r>
      <w:r>
        <w:rPr>
          <w:b/>
          <w:sz w:val="24"/>
          <w:szCs w:val="24"/>
        </w:rPr>
        <w:t xml:space="preserve"> Train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trainer and Training Impact workshop report</w:t>
      </w:r>
    </w:p>
    <w:p w:rsidR="00301755" w:rsidRDefault="00B95592">
      <w:p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Gabriella Rustici, Sarah Morgan, Allegra Via</w:t>
      </w:r>
    </w:p>
    <w:p w:rsidR="00301755" w:rsidRDefault="00301755">
      <w:pPr>
        <w:spacing w:before="0" w:after="0"/>
        <w:jc w:val="center"/>
        <w:rPr>
          <w:b/>
          <w:sz w:val="24"/>
          <w:szCs w:val="24"/>
        </w:rPr>
      </w:pPr>
    </w:p>
    <w:p w:rsidR="00301755" w:rsidRDefault="00B95592">
      <w:pPr>
        <w:spacing w:before="240"/>
        <w:rPr>
          <w:sz w:val="24"/>
          <w:szCs w:val="24"/>
        </w:rPr>
      </w:pPr>
      <w:r>
        <w:rPr>
          <w:sz w:val="24"/>
          <w:szCs w:val="24"/>
        </w:rPr>
        <w:t>The EXCELERATE Train-the-trainer (“TtT”) and Training Impact workshop took place on 19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-21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January 2016 at EMBL-EBI, Hinxton. The workshop brought together several members of the Training Coordinator’s Group (“TrCG”) as well as representatives of Wellcome Trust Advanced Courses, NIH’s Big Data to Knowledge (“BD2K”) and Software/Data Carpentry (</w:t>
      </w:r>
      <w:r>
        <w:rPr>
          <w:sz w:val="24"/>
          <w:szCs w:val="24"/>
        </w:rPr>
        <w:t>“SC/DC”) to kick-off the activities of the “Train-the-Trainer” and “Quality/Impact” subtasks of the ELIXIR-EXCELERATE training WP11.</w:t>
      </w:r>
    </w:p>
    <w:p w:rsidR="00301755" w:rsidRDefault="00B95592">
      <w:pPr>
        <w:spacing w:before="240"/>
        <w:rPr>
          <w:sz w:val="24"/>
          <w:szCs w:val="24"/>
        </w:rPr>
      </w:pPr>
      <w:r>
        <w:rPr>
          <w:sz w:val="24"/>
          <w:szCs w:val="24"/>
        </w:rPr>
        <w:t>The objectives of this workshop were:</w:t>
      </w:r>
    </w:p>
    <w:p w:rsidR="00301755" w:rsidRDefault="00B95592">
      <w:pPr>
        <w:numPr>
          <w:ilvl w:val="0"/>
          <w:numId w:val="4"/>
        </w:numPr>
        <w:spacing w:before="240" w:after="100"/>
        <w:jc w:val="left"/>
        <w:rPr>
          <w:sz w:val="24"/>
          <w:szCs w:val="24"/>
        </w:rPr>
      </w:pPr>
      <w:r>
        <w:rPr>
          <w:sz w:val="24"/>
          <w:szCs w:val="24"/>
        </w:rPr>
        <w:t>To explore the scope of individual’s / organisation’s current activities in the areas</w:t>
      </w:r>
      <w:r>
        <w:rPr>
          <w:sz w:val="24"/>
          <w:szCs w:val="24"/>
        </w:rPr>
        <w:t xml:space="preserve"> of impact assessment and TtT</w:t>
      </w:r>
    </w:p>
    <w:p w:rsidR="00301755" w:rsidRDefault="00B95592">
      <w:pPr>
        <w:numPr>
          <w:ilvl w:val="0"/>
          <w:numId w:val="4"/>
        </w:numPr>
        <w:spacing w:before="240" w:after="100"/>
        <w:jc w:val="left"/>
        <w:rPr>
          <w:sz w:val="24"/>
          <w:szCs w:val="24"/>
        </w:rPr>
      </w:pPr>
      <w:r>
        <w:rPr>
          <w:sz w:val="24"/>
          <w:szCs w:val="24"/>
        </w:rPr>
        <w:t>List the methods currently being applied to undertake these activities</w:t>
      </w:r>
    </w:p>
    <w:p w:rsidR="00301755" w:rsidRDefault="00B95592">
      <w:pPr>
        <w:numPr>
          <w:ilvl w:val="0"/>
          <w:numId w:val="4"/>
        </w:numPr>
        <w:spacing w:before="240" w:after="100"/>
        <w:jc w:val="left"/>
        <w:rPr>
          <w:sz w:val="24"/>
          <w:szCs w:val="24"/>
        </w:rPr>
      </w:pPr>
      <w:r>
        <w:rPr>
          <w:sz w:val="24"/>
          <w:szCs w:val="24"/>
        </w:rPr>
        <w:t>Identify the major requirements / outputs of each activity</w:t>
      </w:r>
    </w:p>
    <w:p w:rsidR="00301755" w:rsidRDefault="00B95592">
      <w:pPr>
        <w:numPr>
          <w:ilvl w:val="0"/>
          <w:numId w:val="4"/>
        </w:numPr>
        <w:spacing w:before="240" w:after="100"/>
        <w:jc w:val="left"/>
        <w:rPr>
          <w:sz w:val="24"/>
          <w:szCs w:val="24"/>
        </w:rPr>
      </w:pPr>
      <w:r>
        <w:rPr>
          <w:sz w:val="24"/>
          <w:szCs w:val="24"/>
        </w:rPr>
        <w:t>Produce a basic framework or set of guidance for the initial development of such activities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bookmarkStart w:id="1" w:name="_gjdgxs" w:colFirst="0" w:colLast="0"/>
      <w:bookmarkEnd w:id="1"/>
      <w:r>
        <w:rPr>
          <w:b/>
          <w:sz w:val="24"/>
          <w:szCs w:val="24"/>
        </w:rPr>
        <w:t>Ag</w:t>
      </w:r>
      <w:r>
        <w:rPr>
          <w:b/>
          <w:sz w:val="24"/>
          <w:szCs w:val="24"/>
        </w:rPr>
        <w:t>enda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b/>
          <w:sz w:val="24"/>
          <w:szCs w:val="24"/>
        </w:rPr>
        <w:t>January 19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|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TtT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 xml:space="preserve">9:30 – 10:00 </w:t>
      </w:r>
      <w:hyperlink r:id="rId8">
        <w:r>
          <w:rPr>
            <w:color w:val="1155CC"/>
            <w:sz w:val="24"/>
            <w:szCs w:val="24"/>
            <w:u w:val="single"/>
          </w:rPr>
          <w:t>Introduction to TtT subtask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AV/SM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 xml:space="preserve">10:00 – 11:00 Series of presentations introducing current </w:t>
      </w:r>
      <w:r>
        <w:rPr>
          <w:sz w:val="24"/>
          <w:szCs w:val="24"/>
        </w:rPr>
        <w:t xml:space="preserve">TtT </w:t>
      </w:r>
      <w:r>
        <w:rPr>
          <w:sz w:val="24"/>
          <w:szCs w:val="24"/>
        </w:rPr>
        <w:t>courses and potential cu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rent approaches. </w:t>
      </w:r>
    </w:p>
    <w:p w:rsidR="00301755" w:rsidRDefault="00301755">
      <w:pPr>
        <w:spacing w:before="0" w:after="0"/>
      </w:pPr>
    </w:p>
    <w:p w:rsidR="00301755" w:rsidRDefault="00B95592">
      <w:pPr>
        <w:numPr>
          <w:ilvl w:val="0"/>
          <w:numId w:val="2"/>
        </w:numPr>
        <w:spacing w:before="0" w:after="0"/>
        <w:ind w:hanging="360"/>
      </w:pPr>
      <w:r>
        <w:rPr>
          <w:sz w:val="24"/>
          <w:szCs w:val="24"/>
        </w:rPr>
        <w:t>Sarah Morgan (EMBL-EBI, Elixir-EBI)</w:t>
      </w:r>
    </w:p>
    <w:p w:rsidR="00301755" w:rsidRDefault="00B95592">
      <w:pPr>
        <w:numPr>
          <w:ilvl w:val="0"/>
          <w:numId w:val="2"/>
        </w:numPr>
        <w:spacing w:before="0" w:after="0"/>
        <w:ind w:hanging="360"/>
      </w:pPr>
      <w:r>
        <w:rPr>
          <w:sz w:val="24"/>
          <w:szCs w:val="24"/>
        </w:rPr>
        <w:t>Allegra Via (Elixir-Italy)</w:t>
      </w:r>
    </w:p>
    <w:p w:rsidR="00301755" w:rsidRDefault="00B95592">
      <w:pPr>
        <w:numPr>
          <w:ilvl w:val="0"/>
          <w:numId w:val="2"/>
        </w:numPr>
        <w:spacing w:before="0" w:after="0"/>
        <w:ind w:hanging="360"/>
      </w:pPr>
      <w:r>
        <w:rPr>
          <w:sz w:val="24"/>
          <w:szCs w:val="24"/>
        </w:rPr>
        <w:t>Pedro Fernandes (Gulbenkian Institute; Elixir-Portugal)</w:t>
      </w:r>
    </w:p>
    <w:p w:rsidR="00301755" w:rsidRDefault="00B95592">
      <w:pPr>
        <w:numPr>
          <w:ilvl w:val="0"/>
          <w:numId w:val="2"/>
        </w:numPr>
        <w:spacing w:before="0" w:after="0"/>
        <w:ind w:hanging="360"/>
      </w:pPr>
      <w:r>
        <w:rPr>
          <w:sz w:val="24"/>
          <w:szCs w:val="24"/>
        </w:rPr>
        <w:t>Pamela Black (Wellcome Genome Campus)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11:00 – 11:30 Coffee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11:30 – 12:00 Presentations continued</w:t>
      </w:r>
    </w:p>
    <w:p w:rsidR="00301755" w:rsidRDefault="00301755">
      <w:pPr>
        <w:spacing w:before="0" w:after="0"/>
      </w:pPr>
    </w:p>
    <w:p w:rsidR="00301755" w:rsidRDefault="00B95592">
      <w:pPr>
        <w:numPr>
          <w:ilvl w:val="0"/>
          <w:numId w:val="2"/>
        </w:numPr>
        <w:spacing w:before="0" w:after="0"/>
        <w:ind w:hanging="360"/>
      </w:pPr>
      <w:r>
        <w:rPr>
          <w:sz w:val="24"/>
          <w:szCs w:val="24"/>
        </w:rPr>
        <w:t>Tracey Teal (Software Carpentry)</w:t>
      </w:r>
    </w:p>
    <w:p w:rsidR="00301755" w:rsidRDefault="00B95592">
      <w:pPr>
        <w:numPr>
          <w:ilvl w:val="0"/>
          <w:numId w:val="2"/>
        </w:numPr>
        <w:spacing w:before="0" w:after="0"/>
        <w:ind w:hanging="360"/>
      </w:pPr>
      <w:r>
        <w:rPr>
          <w:sz w:val="24"/>
          <w:szCs w:val="24"/>
        </w:rPr>
        <w:t>Rochelle Tractenberg (Georgetown University, BD2K)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12:00 – 12:30 Discussion</w:t>
      </w:r>
    </w:p>
    <w:p w:rsidR="00301755" w:rsidRDefault="00B95592">
      <w:pPr>
        <w:spacing w:before="0" w:after="0"/>
      </w:pPr>
      <w:r>
        <w:rPr>
          <w:sz w:val="24"/>
          <w:szCs w:val="24"/>
        </w:rPr>
        <w:t xml:space="preserve">Summarise common themes / approaches identified from the individual presentations. 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12:30 – 13:30 Lunch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13:30 – 17:00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 xml:space="preserve">Breakout discussions: </w:t>
      </w:r>
    </w:p>
    <w:p w:rsidR="00301755" w:rsidRDefault="00B95592">
      <w:pPr>
        <w:numPr>
          <w:ilvl w:val="0"/>
          <w:numId w:val="10"/>
        </w:numPr>
        <w:spacing w:before="0" w:after="0"/>
        <w:ind w:hanging="360"/>
      </w:pPr>
      <w:r>
        <w:rPr>
          <w:sz w:val="24"/>
          <w:szCs w:val="24"/>
        </w:rPr>
        <w:t>Sp</w:t>
      </w:r>
      <w:r>
        <w:rPr>
          <w:sz w:val="24"/>
          <w:szCs w:val="24"/>
        </w:rPr>
        <w:t>ecific aims of TtT provision across EXCELERATE</w:t>
      </w:r>
    </w:p>
    <w:p w:rsidR="00301755" w:rsidRDefault="00B95592">
      <w:pPr>
        <w:numPr>
          <w:ilvl w:val="0"/>
          <w:numId w:val="10"/>
        </w:numPr>
        <w:spacing w:before="0" w:after="0"/>
        <w:ind w:hanging="360"/>
      </w:pPr>
      <w:r>
        <w:rPr>
          <w:sz w:val="24"/>
          <w:szCs w:val="24"/>
        </w:rPr>
        <w:t>Framing an ELIXIR TtT course / workshop</w:t>
      </w:r>
    </w:p>
    <w:p w:rsidR="00301755" w:rsidRDefault="00B95592">
      <w:pPr>
        <w:numPr>
          <w:ilvl w:val="0"/>
          <w:numId w:val="10"/>
        </w:numPr>
        <w:spacing w:before="0" w:after="0"/>
        <w:ind w:hanging="360"/>
      </w:pPr>
      <w:r>
        <w:rPr>
          <w:sz w:val="24"/>
          <w:szCs w:val="24"/>
        </w:rPr>
        <w:t>Sources of material for delivery</w:t>
      </w:r>
    </w:p>
    <w:p w:rsidR="00301755" w:rsidRDefault="00B95592">
      <w:pPr>
        <w:numPr>
          <w:ilvl w:val="0"/>
          <w:numId w:val="10"/>
        </w:numPr>
        <w:spacing w:before="0" w:after="0"/>
        <w:ind w:hanging="360"/>
      </w:pPr>
      <w:r>
        <w:rPr>
          <w:sz w:val="24"/>
          <w:szCs w:val="24"/>
        </w:rPr>
        <w:t>Who will deliver – how to develop a bigger set of TtT instructors?</w:t>
      </w:r>
    </w:p>
    <w:p w:rsidR="00301755" w:rsidRDefault="00301755">
      <w:pPr>
        <w:spacing w:before="0" w:after="0"/>
      </w:pP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b/>
          <w:sz w:val="24"/>
          <w:szCs w:val="24"/>
        </w:rPr>
        <w:t>January 20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TtT / Impact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9:30 – 11:00 Next steps and pilot year</w:t>
      </w:r>
    </w:p>
    <w:p w:rsidR="00301755" w:rsidRDefault="00B95592">
      <w:pPr>
        <w:numPr>
          <w:ilvl w:val="0"/>
          <w:numId w:val="12"/>
        </w:numPr>
        <w:spacing w:before="0" w:after="0"/>
        <w:ind w:hanging="360"/>
      </w:pPr>
      <w:r>
        <w:rPr>
          <w:sz w:val="24"/>
          <w:szCs w:val="24"/>
        </w:rPr>
        <w:t>Format: what do we try in the pilot, what do we roll out later?</w:t>
      </w:r>
    </w:p>
    <w:p w:rsidR="00301755" w:rsidRDefault="00B95592">
      <w:pPr>
        <w:numPr>
          <w:ilvl w:val="0"/>
          <w:numId w:val="12"/>
        </w:numPr>
        <w:spacing w:before="0" w:after="0"/>
        <w:ind w:hanging="360"/>
      </w:pPr>
      <w:r>
        <w:rPr>
          <w:sz w:val="24"/>
          <w:szCs w:val="24"/>
        </w:rPr>
        <w:t>Who to target (node / trainee)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11:00 – 11:30 Coffee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bookmarkStart w:id="2" w:name="_30j0zll" w:colFirst="0" w:colLast="0"/>
      <w:bookmarkEnd w:id="2"/>
      <w:r>
        <w:rPr>
          <w:sz w:val="24"/>
          <w:szCs w:val="24"/>
        </w:rPr>
        <w:t>11:30 – 12:30 Timeline for pilot year and summary – workshop outcomes and actions.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12:30 – 13:30 Lunch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 xml:space="preserve">13:30 – 14:00 Introduction to Impact subtask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GR/SM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14:00 – 15:00</w:t>
      </w:r>
      <w:r>
        <w:t xml:space="preserve"> </w:t>
      </w:r>
      <w:r>
        <w:rPr>
          <w:sz w:val="24"/>
          <w:szCs w:val="24"/>
        </w:rPr>
        <w:t xml:space="preserve">Series of presentations introducing current methods employed for measuring / reviewing training impact 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numPr>
          <w:ilvl w:val="0"/>
          <w:numId w:val="1"/>
        </w:numPr>
        <w:spacing w:before="0" w:after="0"/>
        <w:ind w:hanging="360"/>
        <w:contextualSpacing/>
      </w:pPr>
      <w:r>
        <w:rPr>
          <w:sz w:val="24"/>
          <w:szCs w:val="24"/>
        </w:rPr>
        <w:t>Sarah Morgan (EMBL-EBI, Elixir-EBI)</w:t>
      </w:r>
    </w:p>
    <w:p w:rsidR="00301755" w:rsidRDefault="00B95592">
      <w:pPr>
        <w:numPr>
          <w:ilvl w:val="0"/>
          <w:numId w:val="14"/>
        </w:numPr>
        <w:spacing w:before="0" w:after="0"/>
        <w:ind w:hanging="360"/>
      </w:pPr>
      <w:r>
        <w:rPr>
          <w:sz w:val="24"/>
          <w:szCs w:val="24"/>
        </w:rPr>
        <w:t>Gabr</w:t>
      </w:r>
      <w:r>
        <w:rPr>
          <w:sz w:val="24"/>
          <w:szCs w:val="24"/>
        </w:rPr>
        <w:t>iella</w:t>
      </w:r>
      <w:r>
        <w:rPr>
          <w:sz w:val="24"/>
          <w:szCs w:val="24"/>
        </w:rPr>
        <w:t xml:space="preserve"> Rustici (Uni of Cambridge, Elixir-UK)</w:t>
      </w:r>
    </w:p>
    <w:p w:rsidR="00301755" w:rsidRDefault="00B95592">
      <w:pPr>
        <w:numPr>
          <w:ilvl w:val="0"/>
          <w:numId w:val="14"/>
        </w:numPr>
        <w:spacing w:before="0" w:after="0"/>
        <w:ind w:hanging="360"/>
      </w:pPr>
      <w:r>
        <w:rPr>
          <w:sz w:val="24"/>
          <w:szCs w:val="24"/>
        </w:rPr>
        <w:t>Patricia Palagi (SIB, Elixir-Switzerland)</w:t>
      </w:r>
    </w:p>
    <w:p w:rsidR="00301755" w:rsidRDefault="00B95592">
      <w:pPr>
        <w:numPr>
          <w:ilvl w:val="0"/>
          <w:numId w:val="14"/>
        </w:numPr>
        <w:spacing w:before="0" w:after="0"/>
        <w:ind w:hanging="360"/>
      </w:pPr>
      <w:r>
        <w:rPr>
          <w:sz w:val="24"/>
          <w:szCs w:val="24"/>
        </w:rPr>
        <w:t>Celia Van Gelder (DTL, Elixir-Netherlands)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15:00 – 15:30 Coffee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15:30 – 16:00 Presentations continued</w:t>
      </w:r>
    </w:p>
    <w:p w:rsidR="00301755" w:rsidRDefault="00B95592">
      <w:pPr>
        <w:numPr>
          <w:ilvl w:val="0"/>
          <w:numId w:val="14"/>
        </w:numPr>
        <w:spacing w:before="0" w:after="0"/>
        <w:ind w:hanging="360"/>
      </w:pPr>
      <w:r>
        <w:rPr>
          <w:sz w:val="24"/>
          <w:szCs w:val="24"/>
        </w:rPr>
        <w:t>Pamela Black (Wellcome Genome Campus)</w:t>
      </w:r>
    </w:p>
    <w:p w:rsidR="00301755" w:rsidRDefault="00B95592">
      <w:pPr>
        <w:numPr>
          <w:ilvl w:val="0"/>
          <w:numId w:val="14"/>
        </w:numPr>
        <w:spacing w:before="0" w:after="0"/>
        <w:ind w:hanging="360"/>
      </w:pPr>
      <w:r>
        <w:rPr>
          <w:sz w:val="24"/>
          <w:szCs w:val="24"/>
        </w:rPr>
        <w:t xml:space="preserve">Rochelle Tractenberg (Georgetown </w:t>
      </w:r>
      <w:r>
        <w:rPr>
          <w:sz w:val="24"/>
          <w:szCs w:val="24"/>
        </w:rPr>
        <w:t>University, BD2K)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16:00 – 16:30 / 17:00 Discussion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Summarise common themes for impact measure and methods  / instruments employed for measuring.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b/>
          <w:sz w:val="24"/>
          <w:szCs w:val="24"/>
        </w:rPr>
        <w:t>January 21</w:t>
      </w:r>
      <w:r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- Impact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9:30 – 11:00  / 11:30 – 12:30 (Coffee will be available at 11:00)</w:t>
      </w:r>
    </w:p>
    <w:p w:rsidR="00301755" w:rsidRDefault="00B95592">
      <w:pPr>
        <w:spacing w:before="0" w:after="0"/>
      </w:pPr>
      <w:r>
        <w:rPr>
          <w:sz w:val="24"/>
          <w:szCs w:val="24"/>
        </w:rPr>
        <w:lastRenderedPageBreak/>
        <w:t>Series of Breakout discussion sessions:</w:t>
      </w:r>
    </w:p>
    <w:p w:rsidR="00301755" w:rsidRDefault="00301755">
      <w:pPr>
        <w:spacing w:before="0" w:after="0"/>
      </w:pPr>
    </w:p>
    <w:p w:rsidR="00301755" w:rsidRDefault="00B95592">
      <w:pPr>
        <w:numPr>
          <w:ilvl w:val="0"/>
          <w:numId w:val="1"/>
        </w:numPr>
        <w:spacing w:before="0" w:after="0"/>
        <w:ind w:hanging="360"/>
        <w:contextualSpacing/>
      </w:pPr>
      <w:r>
        <w:rPr>
          <w:sz w:val="24"/>
          <w:szCs w:val="24"/>
        </w:rPr>
        <w:t>Who are the stakeholders and why they would like these information?</w:t>
      </w:r>
    </w:p>
    <w:p w:rsidR="00301755" w:rsidRDefault="00B95592">
      <w:pPr>
        <w:numPr>
          <w:ilvl w:val="0"/>
          <w:numId w:val="1"/>
        </w:numPr>
        <w:spacing w:before="0" w:after="0"/>
        <w:ind w:hanging="360"/>
        <w:contextualSpacing/>
      </w:pPr>
      <w:r>
        <w:rPr>
          <w:sz w:val="24"/>
          <w:szCs w:val="24"/>
        </w:rPr>
        <w:t>What do they need to know?</w:t>
      </w:r>
    </w:p>
    <w:p w:rsidR="00301755" w:rsidRDefault="00B95592">
      <w:pPr>
        <w:numPr>
          <w:ilvl w:val="0"/>
          <w:numId w:val="1"/>
        </w:numPr>
        <w:spacing w:before="0" w:after="0"/>
        <w:ind w:hanging="360"/>
        <w:contextualSpacing/>
      </w:pPr>
      <w:r>
        <w:rPr>
          <w:sz w:val="24"/>
          <w:szCs w:val="24"/>
        </w:rPr>
        <w:t xml:space="preserve">What do we need to measure and capture and how? 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12:30 – 13:30 Lunch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13:30 – 15:00</w:t>
      </w:r>
    </w:p>
    <w:p w:rsidR="00301755" w:rsidRDefault="00B95592">
      <w:pPr>
        <w:spacing w:before="0" w:after="0"/>
      </w:pPr>
      <w:r>
        <w:rPr>
          <w:sz w:val="24"/>
          <w:szCs w:val="24"/>
        </w:rPr>
        <w:t>Series of breakout discussion sessi</w:t>
      </w:r>
      <w:r>
        <w:rPr>
          <w:sz w:val="24"/>
          <w:szCs w:val="24"/>
        </w:rPr>
        <w:t>ons on moving towards a framework for Elixir</w:t>
      </w:r>
    </w:p>
    <w:p w:rsidR="00301755" w:rsidRDefault="00B95592">
      <w:pPr>
        <w:spacing w:before="0" w:after="0"/>
      </w:pPr>
      <w:r>
        <w:rPr>
          <w:sz w:val="24"/>
          <w:szCs w:val="24"/>
        </w:rPr>
        <w:tab/>
      </w:r>
    </w:p>
    <w:p w:rsidR="00301755" w:rsidRDefault="00B95592">
      <w:pPr>
        <w:numPr>
          <w:ilvl w:val="0"/>
          <w:numId w:val="3"/>
        </w:numPr>
        <w:spacing w:before="0" w:after="0"/>
        <w:ind w:hanging="360"/>
        <w:contextualSpacing/>
      </w:pPr>
      <w:r>
        <w:rPr>
          <w:sz w:val="24"/>
          <w:szCs w:val="24"/>
        </w:rPr>
        <w:t>How will we collect information – where will it come from?</w:t>
      </w:r>
    </w:p>
    <w:p w:rsidR="00301755" w:rsidRDefault="00B95592">
      <w:pPr>
        <w:numPr>
          <w:ilvl w:val="0"/>
          <w:numId w:val="3"/>
        </w:numPr>
        <w:spacing w:before="0" w:after="0"/>
        <w:ind w:hanging="360"/>
        <w:contextualSpacing/>
      </w:pPr>
      <w:r>
        <w:rPr>
          <w:sz w:val="24"/>
          <w:szCs w:val="24"/>
        </w:rPr>
        <w:t>Reporting systems – to who?</w:t>
      </w:r>
    </w:p>
    <w:p w:rsidR="00301755" w:rsidRDefault="00B95592">
      <w:pPr>
        <w:numPr>
          <w:ilvl w:val="0"/>
          <w:numId w:val="3"/>
        </w:numPr>
        <w:spacing w:before="0" w:after="0"/>
        <w:ind w:hanging="360"/>
        <w:contextualSpacing/>
      </w:pPr>
      <w:r>
        <w:rPr>
          <w:sz w:val="24"/>
          <w:szCs w:val="24"/>
        </w:rPr>
        <w:t>Next steps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15:00 – 15:30 Coffee</w:t>
      </w:r>
    </w:p>
    <w:p w:rsidR="00301755" w:rsidRDefault="00301755">
      <w:pPr>
        <w:spacing w:before="0" w:after="0"/>
      </w:pPr>
    </w:p>
    <w:p w:rsidR="00301755" w:rsidRDefault="00B95592">
      <w:pPr>
        <w:spacing w:before="0" w:after="0"/>
      </w:pPr>
      <w:r>
        <w:rPr>
          <w:sz w:val="24"/>
          <w:szCs w:val="24"/>
        </w:rPr>
        <w:t>15:30 – 16:30 Workshop summary, actions and outcomes.</w:t>
      </w:r>
    </w:p>
    <w:p w:rsidR="00301755" w:rsidRDefault="00301755"/>
    <w:p w:rsidR="00301755" w:rsidRDefault="00301755"/>
    <w:p w:rsidR="00301755" w:rsidRDefault="00B95592">
      <w:pPr>
        <w:spacing w:before="0" w:after="0"/>
        <w:rPr>
          <w:b/>
          <w:sz w:val="24"/>
          <w:szCs w:val="24"/>
        </w:rPr>
      </w:pPr>
      <w:bookmarkStart w:id="3" w:name="_wxzeejf39o4e" w:colFirst="0" w:colLast="0"/>
      <w:bookmarkEnd w:id="3"/>
      <w:r>
        <w:rPr>
          <w:b/>
          <w:sz w:val="24"/>
          <w:szCs w:val="24"/>
        </w:rPr>
        <w:t>List of Participants</w:t>
      </w:r>
    </w:p>
    <w:p w:rsidR="00301755" w:rsidRDefault="00301755">
      <w:pPr>
        <w:spacing w:before="0" w:after="0"/>
        <w:rPr>
          <w:b/>
          <w:sz w:val="24"/>
          <w:szCs w:val="24"/>
        </w:rPr>
      </w:pPr>
      <w:bookmarkStart w:id="4" w:name="_fsxfoany6ckv" w:colFirst="0" w:colLast="0"/>
      <w:bookmarkEnd w:id="4"/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Allegra Via (Elixir-Italy)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Cath Brooksbank (EMBL-EBI, Elixir-EBI)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Celia Van Gelder (DTL, Elixir-Netherlands)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Chiara garattini (Intel - Impact subtask only)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Gabriella Rustici (Uni of Cambridge, Elixir-UK)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Jason Williams (CSHL, Impact subtask only)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Laura Eme</w:t>
      </w:r>
      <w:r>
        <w:rPr>
          <w:sz w:val="24"/>
          <w:szCs w:val="24"/>
        </w:rPr>
        <w:t>ry (EMBL-EBI, Elixir-EBI - TtT subtask only)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Lee Larcombe (Elixir-UK)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Pamela Black (Wellcome Trust Advanced Courses)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Patricia Palagi (SIB, Elixir-Switzerland)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Pedro Fernandes (Gulbenkian Institute; Elixir-Portugal)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Rita Hendricusdottir (Elixir-UK)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Rochelle</w:t>
      </w:r>
      <w:r>
        <w:rPr>
          <w:sz w:val="24"/>
          <w:szCs w:val="24"/>
        </w:rPr>
        <w:t xml:space="preserve"> Tractenberg (Georgetown University, BD2K)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Sarah Morgan (EMBL-EBI, Elixir-EBI)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Terry Atwood (Elixir-UK)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Tracey Teal (Software Carpentry)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Vincenza Colonna (CNR, Italy)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br w:type="page"/>
      </w:r>
    </w:p>
    <w:p w:rsidR="00301755" w:rsidRDefault="00B95592">
      <w:p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Impact/quality subtask summary - Gabry/Sarah</w:t>
      </w:r>
    </w:p>
    <w:p w:rsidR="00301755" w:rsidRDefault="00301755">
      <w:pPr>
        <w:spacing w:before="0" w:after="0"/>
        <w:rPr>
          <w:b/>
          <w:sz w:val="24"/>
          <w:szCs w:val="24"/>
        </w:rPr>
      </w:pPr>
    </w:p>
    <w:p w:rsidR="00301755" w:rsidRDefault="00301755">
      <w:pPr>
        <w:spacing w:before="0" w:after="0"/>
        <w:rPr>
          <w:b/>
          <w:sz w:val="24"/>
          <w:szCs w:val="24"/>
        </w:rPr>
      </w:pPr>
    </w:p>
    <w:p w:rsidR="00301755" w:rsidRDefault="00B95592">
      <w:p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What information are we currently capturing that could be reused?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This session started with a short talk by Lee Larcombe, from Elixir-UK, introducing the aims and objectives of this subtask. This was followed by a series of short presentations by particip</w:t>
      </w:r>
      <w:r>
        <w:rPr>
          <w:sz w:val="24"/>
          <w:szCs w:val="24"/>
        </w:rPr>
        <w:t>ants who have already been involved, to some degree, in the assessment of impact.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All speakers were asked what they/their organisation define as impact. Everybody found this quite difficult but the general consensus was to define training impact as “a mea</w:t>
      </w:r>
      <w:r>
        <w:rPr>
          <w:sz w:val="24"/>
          <w:szCs w:val="24"/>
        </w:rPr>
        <w:t>sure of how participation in a training course improves someone’s understanding and awareness of a particular domain/topic, leading to change in their research/professional development”.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Each speaker then gave an overview of the metrics/measures that they</w:t>
      </w:r>
      <w:r>
        <w:rPr>
          <w:sz w:val="24"/>
          <w:szCs w:val="24"/>
        </w:rPr>
        <w:t xml:space="preserve"> currently collect about the training activities in which they are involved.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Here is a list of the metrics/measures being collected at different sites: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numPr>
          <w:ilvl w:val="0"/>
          <w:numId w:val="1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quantitative data about the course program/individual event statistics (events / days / participants /</w:t>
      </w:r>
      <w:r>
        <w:rPr>
          <w:sz w:val="24"/>
          <w:szCs w:val="24"/>
        </w:rPr>
        <w:t xml:space="preserve"> geographical spread)</w:t>
      </w:r>
    </w:p>
    <w:p w:rsidR="00301755" w:rsidRDefault="00B95592">
      <w:pPr>
        <w:numPr>
          <w:ilvl w:val="0"/>
          <w:numId w:val="13"/>
        </w:numPr>
        <w:spacing w:before="0" w:after="0"/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trainers’ quantitative data - effort involved, number of trainers, hours spent in preparation/delivery/post course</w:t>
      </w:r>
    </w:p>
    <w:p w:rsidR="00301755" w:rsidRDefault="00B95592">
      <w:pPr>
        <w:numPr>
          <w:ilvl w:val="0"/>
          <w:numId w:val="1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course ratings - overall organization, course content, balance and level, evaluations of each day of the course</w:t>
      </w:r>
    </w:p>
    <w:p w:rsidR="00301755" w:rsidRDefault="00B95592">
      <w:pPr>
        <w:numPr>
          <w:ilvl w:val="0"/>
          <w:numId w:val="1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qualita</w:t>
      </w:r>
      <w:r>
        <w:rPr>
          <w:sz w:val="24"/>
          <w:szCs w:val="24"/>
        </w:rPr>
        <w:t>tive data - capturing suggestions for improvements and additional training topics.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Several methods are currently used to capture this data, including: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numPr>
          <w:ilvl w:val="0"/>
          <w:numId w:val="16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Institutional booking systems - primarily for quantitative data about course/participants</w:t>
      </w:r>
    </w:p>
    <w:p w:rsidR="00301755" w:rsidRDefault="00B95592">
      <w:pPr>
        <w:numPr>
          <w:ilvl w:val="0"/>
          <w:numId w:val="16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post course f</w:t>
      </w:r>
      <w:r>
        <w:rPr>
          <w:sz w:val="24"/>
          <w:szCs w:val="24"/>
        </w:rPr>
        <w:t>eedback online or in paper form - primarily for course ratings, short-term. Online systems include Survey Monkey, Virtual Learning Environments (for undergraduate and master's level courses, VLEs), spreadsheets and Moodle sites for individual courses</w:t>
      </w:r>
    </w:p>
    <w:p w:rsidR="00301755" w:rsidRDefault="00B95592">
      <w:pPr>
        <w:numPr>
          <w:ilvl w:val="0"/>
          <w:numId w:val="16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infor</w:t>
      </w:r>
      <w:r>
        <w:rPr>
          <w:sz w:val="24"/>
          <w:szCs w:val="24"/>
        </w:rPr>
        <w:t>mal dialogue.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The information collected is used primarily for: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numPr>
          <w:ilvl w:val="0"/>
          <w:numId w:val="8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internal use: monitoring of activities, program and further course development, strategic decisions</w:t>
      </w:r>
    </w:p>
    <w:p w:rsidR="00301755" w:rsidRDefault="00B95592">
      <w:pPr>
        <w:numPr>
          <w:ilvl w:val="0"/>
          <w:numId w:val="8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reporting to scientific advisory boards, steering groups, management, funders</w:t>
      </w:r>
    </w:p>
    <w:p w:rsidR="00301755" w:rsidRDefault="00B95592">
      <w:pPr>
        <w:numPr>
          <w:ilvl w:val="0"/>
          <w:numId w:val="8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compiling annual reports</w:t>
      </w:r>
    </w:p>
    <w:p w:rsidR="00301755" w:rsidRDefault="00B95592">
      <w:pPr>
        <w:numPr>
          <w:ilvl w:val="0"/>
          <w:numId w:val="8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communications: newsletters, website, external reports 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Long-term feedback (from 6 months to several years) was also highlighted as an area that needed development as few organizations have so far implemented such procedures and t</w:t>
      </w:r>
      <w:r>
        <w:rPr>
          <w:sz w:val="24"/>
          <w:szCs w:val="24"/>
        </w:rPr>
        <w:t xml:space="preserve">here is uncertainty on the best format for such type of survey. 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The discussion also touched on how to assure and maintain quality of training. Emphasis was put on the importance of describing courses, and associated course materials, in a consistent manner. It was noted that some organizations have already adopted comm</w:t>
      </w:r>
      <w:r>
        <w:rPr>
          <w:sz w:val="24"/>
          <w:szCs w:val="24"/>
        </w:rPr>
        <w:t>on formats for course descriptions, aims and learning outcomes which could be easily adopted by other organizations.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Who are the stakeholders and why they would like these information?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Extensive discussion focused on who are the stakeholder for whom we w</w:t>
      </w:r>
      <w:r>
        <w:rPr>
          <w:sz w:val="24"/>
          <w:szCs w:val="24"/>
        </w:rPr>
        <w:t>ant to collect data, what they are likely to be wanting to know and what key performance indicators will allow us to best capture such information.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The outcomes of this initial discussion are presented in the table below.</w:t>
      </w:r>
    </w:p>
    <w:p w:rsidR="00301755" w:rsidRDefault="00301755">
      <w:pPr>
        <w:spacing w:before="0" w:after="0"/>
        <w:rPr>
          <w:sz w:val="24"/>
          <w:szCs w:val="24"/>
        </w:rPr>
      </w:pPr>
    </w:p>
    <w:tbl>
      <w:tblPr>
        <w:tblStyle w:val="a"/>
        <w:tblW w:w="8625" w:type="dxa"/>
        <w:tblInd w:w="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6270"/>
      </w:tblGrid>
      <w:tr w:rsidR="003017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widowControl w:val="0"/>
              <w:spacing w:before="0" w:after="0"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Stakeholder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widowControl w:val="0"/>
              <w:spacing w:before="0" w:after="0"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they want/ne</w:t>
            </w:r>
            <w:r>
              <w:rPr>
                <w:b/>
                <w:sz w:val="24"/>
                <w:szCs w:val="24"/>
              </w:rPr>
              <w:t>ed to know? At what level?</w:t>
            </w:r>
          </w:p>
        </w:tc>
      </w:tr>
      <w:tr w:rsidR="00301755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widowControl w:val="0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ELIXIR trainers and volunteers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numPr>
                <w:ilvl w:val="0"/>
                <w:numId w:val="17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we providing training which is effective and has impact</w:t>
            </w:r>
          </w:p>
          <w:p w:rsidR="00301755" w:rsidRDefault="00B95592">
            <w:pPr>
              <w:numPr>
                <w:ilvl w:val="1"/>
                <w:numId w:val="17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increase engagement from trainers and trainees</w:t>
            </w:r>
          </w:p>
          <w:p w:rsidR="00301755" w:rsidRDefault="00B95592">
            <w:pPr>
              <w:numPr>
                <w:ilvl w:val="1"/>
                <w:numId w:val="17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personal development  / recognition</w:t>
            </w:r>
          </w:p>
        </w:tc>
      </w:tr>
      <w:tr w:rsidR="00301755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ELIXIR leadership (HoN, SAB, IAB, Hub)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numPr>
                <w:ilvl w:val="0"/>
                <w:numId w:val="15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funding being invested appropriately?</w:t>
            </w:r>
          </w:p>
          <w:p w:rsidR="00301755" w:rsidRDefault="00B95592">
            <w:pPr>
              <w:spacing w:before="0" w:after="0"/>
              <w:ind w:left="72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Is there impact on ELIXIR services? Is training helping drive services’ development/usage?</w:t>
            </w:r>
          </w:p>
          <w:p w:rsidR="00301755" w:rsidRDefault="00B95592">
            <w:pPr>
              <w:spacing w:before="0" w:after="0"/>
              <w:ind w:left="72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Impact on ELIXIR science/benefit for the organization as a whole</w:t>
            </w:r>
          </w:p>
        </w:tc>
      </w:tr>
      <w:tr w:rsidR="00301755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ELIXIR users (life scientists, developers, medics, curators, industry, Uni, professional bodies, NGOs,....)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ind w:left="72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accessibility/acquisition of new skills - user perception of accessibility before and after training</w:t>
            </w:r>
          </w:p>
          <w:p w:rsidR="00301755" w:rsidRDefault="00B95592">
            <w:pPr>
              <w:spacing w:before="0" w:after="0"/>
              <w:ind w:left="72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positive effect on research/practice/co</w:t>
            </w:r>
            <w:r>
              <w:rPr>
                <w:sz w:val="24"/>
                <w:szCs w:val="24"/>
              </w:rPr>
              <w:t>llaborations</w:t>
            </w:r>
          </w:p>
          <w:p w:rsidR="00301755" w:rsidRDefault="00301755">
            <w:pPr>
              <w:spacing w:before="0" w:after="0"/>
              <w:ind w:left="720" w:hanging="360"/>
              <w:jc w:val="left"/>
              <w:rPr>
                <w:sz w:val="24"/>
                <w:szCs w:val="24"/>
              </w:rPr>
            </w:pPr>
          </w:p>
        </w:tc>
      </w:tr>
      <w:tr w:rsidR="00301755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funders/RCs/policy makers/ministries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ind w:left="72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return on investment</w:t>
            </w:r>
          </w:p>
          <w:p w:rsidR="00301755" w:rsidRDefault="00B95592">
            <w:pPr>
              <w:spacing w:before="0" w:after="0"/>
              <w:ind w:left="144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who are we reaching? numbers, industry participation, .....</w:t>
            </w:r>
          </w:p>
          <w:p w:rsidR="00301755" w:rsidRDefault="00B95592">
            <w:pPr>
              <w:spacing w:before="0" w:after="0"/>
              <w:ind w:left="144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impact on research at the national level (number of publications)</w:t>
            </w:r>
          </w:p>
          <w:p w:rsidR="00301755" w:rsidRDefault="00B95592">
            <w:pPr>
              <w:spacing w:before="0" w:after="0"/>
              <w:ind w:left="144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industry/health services practice engagement - skills transferability to Industry</w:t>
            </w:r>
          </w:p>
        </w:tc>
      </w:tr>
      <w:tr w:rsidR="00301755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 funders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ind w:left="72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collaborations between member states/research infrastructures - community building</w:t>
            </w:r>
          </w:p>
          <w:p w:rsidR="00301755" w:rsidRDefault="00B95592">
            <w:pPr>
              <w:spacing w:before="0" w:after="0"/>
              <w:ind w:left="144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interactions between less and more established countries; skills/knowledge transfer</w:t>
            </w:r>
          </w:p>
          <w:p w:rsidR="00301755" w:rsidRDefault="00B95592">
            <w:pPr>
              <w:spacing w:before="0" w:after="0"/>
              <w:ind w:left="72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good practice distribution across EU</w:t>
            </w:r>
          </w:p>
          <w:p w:rsidR="00301755" w:rsidRDefault="00B95592">
            <w:pPr>
              <w:spacing w:before="0" w:after="0"/>
              <w:ind w:left="72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perceived societal impact</w:t>
            </w:r>
          </w:p>
        </w:tc>
      </w:tr>
      <w:tr w:rsidR="00301755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ELIXIR nodes (and member institutions)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ind w:left="72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similarity with national and ELIXIR leadership</w:t>
            </w:r>
          </w:p>
          <w:p w:rsidR="00301755" w:rsidRDefault="00B95592">
            <w:pPr>
              <w:spacing w:before="0" w:after="0"/>
              <w:ind w:left="72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benefit of ELIXIR membership (to/from) at national and local level</w:t>
            </w:r>
          </w:p>
        </w:tc>
      </w:tr>
      <w:tr w:rsidR="00301755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public, taxpayers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ind w:left="72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better use of resources/increased access</w:t>
            </w:r>
          </w:p>
          <w:p w:rsidR="00301755" w:rsidRDefault="00B95592">
            <w:pPr>
              <w:numPr>
                <w:ilvl w:val="0"/>
                <w:numId w:val="9"/>
              </w:numPr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translation into practice/service enhancement</w:t>
            </w:r>
          </w:p>
        </w:tc>
      </w:tr>
      <w:tr w:rsidR="00301755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Observers/potential new members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ind w:left="72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membership advantages incl. positive effect on research/practice/collaborations</w:t>
            </w:r>
          </w:p>
        </w:tc>
      </w:tr>
    </w:tbl>
    <w:p w:rsidR="00301755" w:rsidRDefault="00301755">
      <w:pPr>
        <w:spacing w:before="0" w:after="0"/>
        <w:rPr>
          <w:b/>
          <w:sz w:val="24"/>
          <w:szCs w:val="24"/>
        </w:rPr>
      </w:pPr>
    </w:p>
    <w:p w:rsidR="00301755" w:rsidRDefault="00301755">
      <w:pPr>
        <w:spacing w:before="0" w:after="0"/>
        <w:rPr>
          <w:b/>
          <w:sz w:val="24"/>
          <w:szCs w:val="24"/>
        </w:rPr>
      </w:pPr>
    </w:p>
    <w:p w:rsidR="00301755" w:rsidRDefault="00B95592">
      <w:p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What is ELIXIR training</w:t>
      </w:r>
    </w:p>
    <w:p w:rsidR="00301755" w:rsidRDefault="00301755">
      <w:pPr>
        <w:spacing w:before="0" w:after="0"/>
        <w:rPr>
          <w:b/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The general feeling around the room was that, at this stage, priority should be given to define what is considered “ELIXIR training”, before we can proceed with the impact/quality work.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Participants identified two categories of “ELIXIR training”: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numPr>
          <w:ilvl w:val="0"/>
          <w:numId w:val="7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ELIXIR-Europe level training, which has to be related to an ELIXIR service, or tool, or compute or standard, or use case; and</w:t>
      </w:r>
    </w:p>
    <w:p w:rsidR="00301755" w:rsidRDefault="00B95592">
      <w:pPr>
        <w:numPr>
          <w:ilvl w:val="0"/>
          <w:numId w:val="7"/>
        </w:numPr>
        <w:spacing w:before="0" w:after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ELIXIR-Node level training, where the content will be within the Node remit.</w:t>
      </w:r>
    </w:p>
    <w:p w:rsidR="00301755" w:rsidRDefault="00301755">
      <w:pPr>
        <w:spacing w:before="0" w:after="0" w:line="288" w:lineRule="auto"/>
        <w:rPr>
          <w:sz w:val="24"/>
          <w:szCs w:val="24"/>
        </w:rPr>
      </w:pPr>
    </w:p>
    <w:p w:rsidR="00301755" w:rsidRDefault="00B95592">
      <w:pPr>
        <w:spacing w:before="0" w:after="0" w:line="288" w:lineRule="auto"/>
        <w:rPr>
          <w:sz w:val="24"/>
          <w:szCs w:val="24"/>
        </w:rPr>
      </w:pPr>
      <w:r>
        <w:rPr>
          <w:sz w:val="24"/>
          <w:szCs w:val="24"/>
        </w:rPr>
        <w:t>Suggested criteria for labeling training as ELIXIR w</w:t>
      </w:r>
      <w:r>
        <w:rPr>
          <w:sz w:val="24"/>
          <w:szCs w:val="24"/>
        </w:rPr>
        <w:t>ere: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numPr>
          <w:ilvl w:val="0"/>
          <w:numId w:val="5"/>
        </w:numPr>
        <w:spacing w:before="0" w:after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Cover an ELIXIR service, tools, compute, standards, use-case or fulfill an educational need or recognised gap in a specific Node community;</w:t>
      </w:r>
    </w:p>
    <w:p w:rsidR="00301755" w:rsidRDefault="00B95592">
      <w:pPr>
        <w:numPr>
          <w:ilvl w:val="0"/>
          <w:numId w:val="5"/>
        </w:numPr>
        <w:spacing w:before="0" w:after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Meet a set of quality standards e.g. descriptors (to be defined within EXCELERATE WP11); and</w:t>
      </w:r>
    </w:p>
    <w:p w:rsidR="00301755" w:rsidRDefault="00B95592">
      <w:pPr>
        <w:numPr>
          <w:ilvl w:val="0"/>
          <w:numId w:val="5"/>
        </w:numPr>
        <w:spacing w:before="0" w:after="0"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Report on specifi</w:t>
      </w:r>
      <w:r>
        <w:rPr>
          <w:sz w:val="24"/>
          <w:szCs w:val="24"/>
        </w:rPr>
        <w:t>c indicators / metrics to the TrCG (to be defined within EXCELERATE WP11).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This definition of ELIXIR training was presented and discussed at the TrCG meeting which took place during the ELIXIR All Hands meeting in Barcelona, on 7-10 March 2016. 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All TrCG</w:t>
      </w:r>
      <w:r>
        <w:rPr>
          <w:sz w:val="24"/>
          <w:szCs w:val="24"/>
        </w:rPr>
        <w:t>s present at this meeting agreed on this definition and that it should now be utilized to identify ELIXIR training activities that should meet a set of quality standards and for which specific indicators and metrics should be reported.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Initial set of reco</w:t>
      </w:r>
      <w:r>
        <w:rPr>
          <w:b/>
          <w:sz w:val="24"/>
          <w:szCs w:val="24"/>
        </w:rPr>
        <w:t>mmendations and a strategy going forward</w:t>
      </w:r>
    </w:p>
    <w:p w:rsidR="00301755" w:rsidRDefault="00301755">
      <w:pPr>
        <w:spacing w:before="0" w:after="0"/>
        <w:rPr>
          <w:b/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Over the next few months we need to start using a coordinated approach to describe training events across the ELIXIR training portfolio and acquiring a consistent set of information about ELIXIR training events.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z w:val="24"/>
          <w:szCs w:val="24"/>
        </w:rPr>
        <w:t xml:space="preserve">e here provide an initial sets of: (a) descriptors for training events, (b) quantitative metrics for individual training events; and (c) questions for short-term feedback.  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We propose that these should be adopted by all training providers across ELIXIR nodes so that we can start capturing a core set of information about ELIXIR training events in a consistent manner. In this way, we will start capturing information and this wi</w:t>
      </w:r>
      <w:r>
        <w:rPr>
          <w:sz w:val="24"/>
          <w:szCs w:val="24"/>
        </w:rPr>
        <w:t>ll help us to create, refine and expand the EXCELERATE framework of quality indicators and metrics.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numPr>
          <w:ilvl w:val="0"/>
          <w:numId w:val="18"/>
        </w:numPr>
        <w:spacing w:before="0" w:after="0"/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Descriptors for training events - basic set</w:t>
      </w:r>
    </w:p>
    <w:p w:rsidR="00301755" w:rsidRDefault="00301755">
      <w:pPr>
        <w:spacing w:before="0" w:after="0"/>
        <w:rPr>
          <w:b/>
          <w:sz w:val="24"/>
          <w:szCs w:val="24"/>
        </w:rPr>
      </w:pPr>
    </w:p>
    <w:p w:rsidR="00301755" w:rsidRDefault="00B95592">
      <w:pPr>
        <w:numPr>
          <w:ilvl w:val="0"/>
          <w:numId w:val="6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Title of course</w:t>
      </w:r>
    </w:p>
    <w:p w:rsidR="00301755" w:rsidRDefault="00B95592">
      <w:pPr>
        <w:numPr>
          <w:ilvl w:val="0"/>
          <w:numId w:val="6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Course logistics: start/end dates, venue, organizer/course contact</w:t>
      </w:r>
    </w:p>
    <w:p w:rsidR="00301755" w:rsidRDefault="00B95592">
      <w:pPr>
        <w:numPr>
          <w:ilvl w:val="0"/>
          <w:numId w:val="6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Course overview</w:t>
      </w:r>
    </w:p>
    <w:p w:rsidR="00301755" w:rsidRDefault="00B95592">
      <w:pPr>
        <w:numPr>
          <w:ilvl w:val="0"/>
          <w:numId w:val="6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Course tar</w:t>
      </w:r>
      <w:r>
        <w:rPr>
          <w:sz w:val="24"/>
          <w:szCs w:val="24"/>
        </w:rPr>
        <w:t>get audience</w:t>
      </w:r>
      <w:r>
        <w:rPr>
          <w:sz w:val="24"/>
          <w:szCs w:val="24"/>
        </w:rPr>
        <w:t xml:space="preserve"> including prerequisites</w:t>
      </w:r>
    </w:p>
    <w:p w:rsidR="00301755" w:rsidRDefault="00B95592">
      <w:pPr>
        <w:numPr>
          <w:ilvl w:val="0"/>
          <w:numId w:val="6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Core syllabus / ELIXIR resources used</w:t>
      </w:r>
    </w:p>
    <w:p w:rsidR="00301755" w:rsidRDefault="00B95592">
      <w:pPr>
        <w:numPr>
          <w:ilvl w:val="0"/>
          <w:numId w:val="6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Learning objectives</w:t>
      </w:r>
    </w:p>
    <w:p w:rsidR="00301755" w:rsidRDefault="00B95592">
      <w:p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Additional useful information could include: language in which the course is delivered and a programme (including external URL). These are aligned with the </w:t>
      </w:r>
      <w:hyperlink r:id="rId9">
        <w:r>
          <w:rPr>
            <w:color w:val="1155CC"/>
            <w:sz w:val="24"/>
            <w:szCs w:val="24"/>
            <w:u w:val="single"/>
          </w:rPr>
          <w:t>Bioschemas.org Event specifications</w:t>
        </w:r>
      </w:hyperlink>
      <w:r>
        <w:rPr>
          <w:sz w:val="24"/>
          <w:szCs w:val="24"/>
        </w:rPr>
        <w:t>.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numPr>
          <w:ilvl w:val="0"/>
          <w:numId w:val="18"/>
        </w:numPr>
        <w:spacing w:before="0" w:after="0"/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Quantitative metrics for individual training events</w:t>
      </w:r>
    </w:p>
    <w:p w:rsidR="00301755" w:rsidRDefault="00301755">
      <w:pPr>
        <w:spacing w:before="0" w:after="0"/>
        <w:rPr>
          <w:b/>
          <w:sz w:val="24"/>
          <w:szCs w:val="24"/>
        </w:rPr>
      </w:pPr>
    </w:p>
    <w:p w:rsidR="00301755" w:rsidRDefault="00B95592">
      <w:pPr>
        <w:numPr>
          <w:ilvl w:val="0"/>
          <w:numId w:val="6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Number of applicants</w:t>
      </w:r>
    </w:p>
    <w:p w:rsidR="00301755" w:rsidRDefault="00B95592">
      <w:pPr>
        <w:numPr>
          <w:ilvl w:val="0"/>
          <w:numId w:val="6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Number of attendees</w:t>
      </w:r>
    </w:p>
    <w:p w:rsidR="00301755" w:rsidRDefault="00B95592">
      <w:pPr>
        <w:numPr>
          <w:ilvl w:val="0"/>
          <w:numId w:val="6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Career level</w:t>
      </w:r>
    </w:p>
    <w:p w:rsidR="00301755" w:rsidRDefault="00B95592">
      <w:pPr>
        <w:numPr>
          <w:ilvl w:val="0"/>
          <w:numId w:val="6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Country of employment</w:t>
      </w:r>
    </w:p>
    <w:p w:rsidR="00301755" w:rsidRDefault="00B95592">
      <w:pPr>
        <w:numPr>
          <w:ilvl w:val="0"/>
          <w:numId w:val="6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Where did you h</w:t>
      </w:r>
      <w:r>
        <w:rPr>
          <w:sz w:val="24"/>
          <w:szCs w:val="24"/>
        </w:rPr>
        <w:t>ear about the course?</w:t>
      </w:r>
    </w:p>
    <w:p w:rsidR="00301755" w:rsidRDefault="00B95592">
      <w:pPr>
        <w:numPr>
          <w:ilvl w:val="0"/>
          <w:numId w:val="6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Academia/industry/healthcare</w:t>
      </w:r>
    </w:p>
    <w:p w:rsidR="00301755" w:rsidRDefault="00301755">
      <w:pPr>
        <w:spacing w:before="0" w:after="0"/>
        <w:rPr>
          <w:b/>
          <w:sz w:val="24"/>
          <w:szCs w:val="24"/>
        </w:rPr>
      </w:pPr>
    </w:p>
    <w:p w:rsidR="00301755" w:rsidRDefault="00301755">
      <w:pPr>
        <w:spacing w:before="0" w:after="0"/>
        <w:rPr>
          <w:b/>
          <w:sz w:val="24"/>
          <w:szCs w:val="24"/>
        </w:rPr>
      </w:pPr>
    </w:p>
    <w:p w:rsidR="00301755" w:rsidRDefault="00B95592">
      <w:pPr>
        <w:numPr>
          <w:ilvl w:val="0"/>
          <w:numId w:val="18"/>
        </w:numPr>
        <w:spacing w:before="0" w:after="0"/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Questions for short-term feedback</w:t>
      </w:r>
    </w:p>
    <w:p w:rsidR="00301755" w:rsidRDefault="00301755">
      <w:pPr>
        <w:spacing w:before="0" w:after="0"/>
        <w:rPr>
          <w:b/>
          <w:sz w:val="24"/>
          <w:szCs w:val="24"/>
        </w:rPr>
      </w:pPr>
    </w:p>
    <w:tbl>
      <w:tblPr>
        <w:tblStyle w:val="a0"/>
        <w:tblW w:w="8295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1605"/>
        <w:gridCol w:w="4440"/>
        <w:gridCol w:w="2250"/>
      </w:tblGrid>
      <w:tr w:rsidR="00301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Type of question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Choices</w:t>
            </w:r>
          </w:p>
        </w:tc>
      </w:tr>
      <w:tr w:rsidR="00301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Multiple choice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Overall rating of the entire course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Poor, Satisfactory, Average, Good Excellent</w:t>
            </w:r>
          </w:p>
        </w:tc>
      </w:tr>
      <w:tr w:rsidR="00301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Multiple choice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Please rate each section of the course 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Note to organizer: provide a list of individual sessions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Did not attend, Poor, Satisfactory, Average, Good Excellent</w:t>
            </w:r>
          </w:p>
        </w:tc>
      </w:tr>
      <w:tr w:rsidR="00301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Open-Ended Response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What part of the course did you like the most?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301755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301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Open-Ended Response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What wa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 part of the course would you like the least?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301755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301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Multiple choice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 balance of theoretical and practical content across the course was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Too practical, about right, too theoretical</w:t>
            </w:r>
          </w:p>
        </w:tc>
      </w:tr>
      <w:tr w:rsidR="00301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Multiple choice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Have you used the resources covered in the course before?</w:t>
            </w:r>
          </w:p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Note to organizer: can be tailored to specific ELIXIR resources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Never, used other, occasionally, frequently</w:t>
            </w:r>
          </w:p>
        </w:tc>
      </w:tr>
      <w:tr w:rsidR="00301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Multiple choice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Will you use the tools/resources covered in the course in your future work?</w:t>
            </w:r>
          </w:p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Note to organizer: can be tailored to specific ELIXI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R resources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Yes, probably, maybe, definitely</w:t>
            </w:r>
          </w:p>
        </w:tc>
      </w:tr>
      <w:tr w:rsidR="00301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Multiple choice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Would you recommend this course?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Yes, no, maybe</w:t>
            </w:r>
          </w:p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plus “comments box”</w:t>
            </w:r>
          </w:p>
        </w:tc>
      </w:tr>
      <w:tr w:rsidR="00301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Open-Ended Response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What other topics would you like to see covered in future training courses?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301755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301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Open-Ended Response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B95592">
            <w:pPr>
              <w:spacing w:before="0" w:after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Any other comments?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755" w:rsidRDefault="00301755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</w:tr>
    </w:tbl>
    <w:p w:rsidR="00301755" w:rsidRDefault="00301755">
      <w:pPr>
        <w:spacing w:before="0" w:after="0"/>
        <w:rPr>
          <w:b/>
          <w:sz w:val="24"/>
          <w:szCs w:val="24"/>
        </w:rPr>
      </w:pPr>
    </w:p>
    <w:p w:rsidR="00301755" w:rsidRDefault="00B9559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If you wish to contact participants for long-term feedback, you might want to capture at this stage their name, email address and willingness to be contacted in the future.</w:t>
      </w: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301755">
      <w:pPr>
        <w:spacing w:before="0" w:after="0"/>
        <w:rPr>
          <w:sz w:val="24"/>
          <w:szCs w:val="24"/>
        </w:rPr>
      </w:pPr>
    </w:p>
    <w:p w:rsidR="00301755" w:rsidRDefault="00B95592">
      <w:p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Next steps for each TrCGs:</w:t>
      </w:r>
    </w:p>
    <w:p w:rsidR="00301755" w:rsidRDefault="00301755">
      <w:pPr>
        <w:spacing w:before="0" w:after="0"/>
        <w:rPr>
          <w:b/>
          <w:sz w:val="24"/>
          <w:szCs w:val="24"/>
        </w:rPr>
      </w:pPr>
    </w:p>
    <w:p w:rsidR="00301755" w:rsidRDefault="00B95592">
      <w:pPr>
        <w:numPr>
          <w:ilvl w:val="0"/>
          <w:numId w:val="1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Identify a couple of upcomin</w:t>
      </w:r>
      <w:r>
        <w:rPr>
          <w:sz w:val="24"/>
          <w:szCs w:val="24"/>
        </w:rPr>
        <w:t>g training events taking place in your Node that fulfill the “ELIXIR training” definition;</w:t>
      </w:r>
    </w:p>
    <w:p w:rsidR="00301755" w:rsidRDefault="00B95592">
      <w:pPr>
        <w:numPr>
          <w:ilvl w:val="0"/>
          <w:numId w:val="1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Describe them utilizing the basic set of descriptors in (a) on page 8 of this document;</w:t>
      </w:r>
    </w:p>
    <w:p w:rsidR="00301755" w:rsidRDefault="00B95592">
      <w:pPr>
        <w:numPr>
          <w:ilvl w:val="0"/>
          <w:numId w:val="1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Put in place a mechanism to capture (b) and (c) listed above. A spreadsheet b</w:t>
      </w:r>
      <w:r>
        <w:rPr>
          <w:sz w:val="24"/>
          <w:szCs w:val="24"/>
        </w:rPr>
        <w:t xml:space="preserve">ased solution would probably be the easiest way to capture and distribute this for now. </w:t>
      </w:r>
    </w:p>
    <w:p w:rsidR="00301755" w:rsidRDefault="00B95592">
      <w:pPr>
        <w:numPr>
          <w:ilvl w:val="0"/>
          <w:numId w:val="1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We will review your experience with the above in August/September when the Impact Training Coordinator, Louisa Bellis, will start working.</w:t>
      </w:r>
    </w:p>
    <w:sectPr w:rsidR="00301755">
      <w:footerReference w:type="default" r:id="rId10"/>
      <w:pgSz w:w="11900" w:h="16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95592">
      <w:pPr>
        <w:spacing w:before="0" w:after="0"/>
      </w:pPr>
      <w:r>
        <w:separator/>
      </w:r>
    </w:p>
  </w:endnote>
  <w:endnote w:type="continuationSeparator" w:id="0">
    <w:p w:rsidR="00000000" w:rsidRDefault="00B955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755" w:rsidRDefault="00B95592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95592">
      <w:pPr>
        <w:spacing w:before="0" w:after="0"/>
      </w:pPr>
      <w:r>
        <w:separator/>
      </w:r>
    </w:p>
  </w:footnote>
  <w:footnote w:type="continuationSeparator" w:id="0">
    <w:p w:rsidR="00000000" w:rsidRDefault="00B9559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352E"/>
    <w:multiLevelType w:val="multilevel"/>
    <w:tmpl w:val="B4AE0F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22BA658F"/>
    <w:multiLevelType w:val="multilevel"/>
    <w:tmpl w:val="C19863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5045521"/>
    <w:multiLevelType w:val="multilevel"/>
    <w:tmpl w:val="1FCAD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F530BD"/>
    <w:multiLevelType w:val="multilevel"/>
    <w:tmpl w:val="10DC0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962159"/>
    <w:multiLevelType w:val="multilevel"/>
    <w:tmpl w:val="01B84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2D38A4"/>
    <w:multiLevelType w:val="multilevel"/>
    <w:tmpl w:val="5090F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3F0034"/>
    <w:multiLevelType w:val="multilevel"/>
    <w:tmpl w:val="CFE2A4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3BFD1E73"/>
    <w:multiLevelType w:val="multilevel"/>
    <w:tmpl w:val="C278FE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00B1EEA"/>
    <w:multiLevelType w:val="multilevel"/>
    <w:tmpl w:val="5746AE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9" w15:restartNumberingAfterBreak="0">
    <w:nsid w:val="40B23982"/>
    <w:multiLevelType w:val="multilevel"/>
    <w:tmpl w:val="D322679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40B65004"/>
    <w:multiLevelType w:val="multilevel"/>
    <w:tmpl w:val="B9406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AC4873"/>
    <w:multiLevelType w:val="multilevel"/>
    <w:tmpl w:val="2B5268B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2" w15:restartNumberingAfterBreak="0">
    <w:nsid w:val="46C81CC2"/>
    <w:multiLevelType w:val="multilevel"/>
    <w:tmpl w:val="D7C2B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AD17C75"/>
    <w:multiLevelType w:val="multilevel"/>
    <w:tmpl w:val="AF6C6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CBB6726"/>
    <w:multiLevelType w:val="multilevel"/>
    <w:tmpl w:val="BFE8C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D362BD6"/>
    <w:multiLevelType w:val="multilevel"/>
    <w:tmpl w:val="B2862EF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231301D"/>
    <w:multiLevelType w:val="multilevel"/>
    <w:tmpl w:val="275C48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7BE974D2"/>
    <w:multiLevelType w:val="multilevel"/>
    <w:tmpl w:val="C30C4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9"/>
  </w:num>
  <w:num w:numId="5">
    <w:abstractNumId w:val="4"/>
  </w:num>
  <w:num w:numId="6">
    <w:abstractNumId w:val="12"/>
  </w:num>
  <w:num w:numId="7">
    <w:abstractNumId w:val="14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6"/>
  </w:num>
  <w:num w:numId="13">
    <w:abstractNumId w:val="13"/>
  </w:num>
  <w:num w:numId="14">
    <w:abstractNumId w:val="8"/>
  </w:num>
  <w:num w:numId="15">
    <w:abstractNumId w:val="3"/>
  </w:num>
  <w:num w:numId="16">
    <w:abstractNumId w:val="17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1755"/>
    <w:rsid w:val="00301755"/>
    <w:rsid w:val="00B9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C70F6-1799-43FE-8A36-C2CD5ED1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5ovJsyGNZ3kWmtmN1ZyQ3BPe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BioSchemas/bioschemas/wiki/Event-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2042</Words>
  <Characters>11645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Alam</dc:creator>
  <cp:lastModifiedBy>Sabina Alam</cp:lastModifiedBy>
  <cp:revision>2</cp:revision>
  <dcterms:created xsi:type="dcterms:W3CDTF">2017-08-15T13:24:00Z</dcterms:created>
  <dcterms:modified xsi:type="dcterms:W3CDTF">2017-08-15T13:24:00Z</dcterms:modified>
</cp:coreProperties>
</file>