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939" w:rsidRPr="00C044B1" w:rsidRDefault="00AD5AE3" w:rsidP="006A1087">
      <w:pPr>
        <w:spacing w:before="100" w:beforeAutospacing="1" w:after="100" w:afterAutospacing="1"/>
        <w:rPr>
          <w:lang w:val="en-GB"/>
        </w:rPr>
      </w:pPr>
      <w:r w:rsidRPr="00C044B1">
        <w:rPr>
          <w:b/>
          <w:lang w:val="en-GB"/>
        </w:rPr>
        <w:t xml:space="preserve">Table S2. Principal component analysis: </w:t>
      </w:r>
      <w:r w:rsidR="00844A1C">
        <w:rPr>
          <w:b/>
          <w:lang w:val="en-GB"/>
        </w:rPr>
        <w:t>C</w:t>
      </w:r>
      <w:bookmarkStart w:id="0" w:name="_GoBack"/>
      <w:bookmarkEnd w:id="0"/>
      <w:r w:rsidRPr="00C044B1">
        <w:rPr>
          <w:b/>
          <w:lang w:val="en-GB"/>
        </w:rPr>
        <w:t xml:space="preserve">orrelation between each root system variable and the two first principal components. </w:t>
      </w:r>
      <w:r w:rsidRPr="00C044B1">
        <w:rPr>
          <w:lang w:val="en-GB"/>
        </w:rPr>
        <w:t>Correlation coefficients written in bold contributed significantly to a principal component (PC). We considered that a variable contributed significantly to a PC if its contribution (in %) was greater than the contribution that would have been expected if all variables contributed equally to a PC (threshold value equal to 5%). The topological indices used in the PCA were calculated following</w:t>
      </w:r>
      <w:r w:rsidR="00302A2E" w:rsidRPr="00302A2E">
        <w:rPr>
          <w:color w:val="auto"/>
          <w:lang w:val="en-GB"/>
        </w:rPr>
        <w:t xml:space="preserve"> </w:t>
      </w:r>
      <w:r w:rsidR="00302A2E" w:rsidRPr="00302A2E">
        <w:rPr>
          <w:color w:val="auto"/>
          <w:lang w:val="en-GB"/>
        </w:rPr>
        <w:fldChar w:fldCharType="begin" w:fldLock="1"/>
      </w:r>
      <w:r w:rsidR="007C60FC">
        <w:rPr>
          <w:color w:val="auto"/>
          <w:lang w:val="en-GB"/>
        </w:rPr>
        <w:instrText>ADDIN CSL_CITATION { "citationItems" : [ { "id" : "ITEM-1", "itemData" : { "author" : [ { "dropping-particle" : "", "family" : "Fitter", "given" : "A.H.", "non-dropping-particle" : "", "parse-names" : false, "suffix" : "" } ], "container-title" : "New Phytologist", "id" : "ITEM-1", "issued" : { "date-parts" : [ [ "1987" ] ] }, "page" : "61-77", "title" : "An architectural approach to the comparative ecology of plant root systems", "type" : "article-journal", "volume" : "106" }, "uris" : [ "http://www.mendeley.com/documents/?uuid=97970f19-b846-4995-8dfb-d29012a3688c" ] }, { "id" : "ITEM-2", "itemData" : { "ISSN" : "0305-7364, 1095-8290", "abstract" : "The description of branching structures is discussed and a link-based system is described. This system can be used to distinguish topologically distinct networks and the growth rules which give rise to distinct topologies are outlined. Classifications of links within networks are also described.\\nThese methods are applied to the analysis of red clover Trifolium pratense root systems grown at different watering rates, and reveal that at intermediate supply rates a random branching model is satisfied, but that at extreme rates, departures from randomness are found.\\nThe implications of this are discussed in terms of growth rules, the space-filling properties of root systems, and their transport efficiency. It is shown that these root systems increase in transport efficiency as water supply increases.", "author" : [ { "dropping-particle" : "", "family" : "Fitter", "given" : "A.H.", "non-dropping-particle" : "", "parse-names" : false, "suffix" : "" } ], "container-title" : "Annals of Botany", "id" : "ITEM-2", "issue" : "1", "issued" : { "date-parts" : [ [ "1986" ] ] }, "page" : "91-101", "title" : "The topology and geometry of plant root systems: influence of watering rate on root system topology in &lt;i&gt;Trifolium pratense&lt;/i&gt;", "type" : "article-journal", "volume" : "58" }, "uris" : [ "http://www.mendeley.com/documents/?uuid=b7e8a15c-7868-42e3-ba32-4092f29015bb" ] } ], "mendeley" : { "formattedCitation" : "(9,10)", "plainTextFormattedCitation" : "(9,10)", "previouslyFormattedCitation" : "(9,10)" }, "properties" : {  }, "schema" : "https://github.com/citation-style-language/schema/raw/master/csl-citation.json" }</w:instrText>
      </w:r>
      <w:r w:rsidR="00302A2E" w:rsidRPr="00302A2E">
        <w:rPr>
          <w:color w:val="auto"/>
          <w:lang w:val="en-GB"/>
        </w:rPr>
        <w:fldChar w:fldCharType="separate"/>
      </w:r>
      <w:r w:rsidR="00302A2E" w:rsidRPr="00302A2E">
        <w:rPr>
          <w:noProof/>
          <w:color w:val="auto"/>
          <w:lang w:val="en-GB"/>
        </w:rPr>
        <w:t>(9,10)</w:t>
      </w:r>
      <w:r w:rsidR="00302A2E" w:rsidRPr="00302A2E">
        <w:rPr>
          <w:color w:val="auto"/>
          <w:lang w:val="en-GB"/>
        </w:rPr>
        <w:fldChar w:fldCharType="end"/>
      </w:r>
      <w:r w:rsidRPr="00C044B1">
        <w:rPr>
          <w:lang w:val="en-GB"/>
        </w:rPr>
        <w:t>.</w:t>
      </w:r>
    </w:p>
    <w:tbl>
      <w:tblPr>
        <w:tblStyle w:val="a4"/>
        <w:tblW w:w="40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675"/>
        <w:gridCol w:w="645"/>
      </w:tblGrid>
      <w:tr w:rsidR="00693939" w:rsidRPr="00C044B1">
        <w:trPr>
          <w:trHeight w:val="380"/>
          <w:jc w:val="center"/>
        </w:trPr>
        <w:tc>
          <w:tcPr>
            <w:tcW w:w="273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b/>
                <w:sz w:val="20"/>
                <w:szCs w:val="20"/>
                <w:lang w:val="en-GB"/>
              </w:rPr>
            </w:pPr>
            <w:r w:rsidRPr="00C044B1">
              <w:rPr>
                <w:b/>
                <w:sz w:val="20"/>
                <w:szCs w:val="20"/>
                <w:lang w:val="en-GB"/>
              </w:rPr>
              <w:t>Variable</w:t>
            </w:r>
          </w:p>
        </w:tc>
        <w:tc>
          <w:tcPr>
            <w:tcW w:w="67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b/>
                <w:sz w:val="20"/>
                <w:szCs w:val="20"/>
                <w:lang w:val="en-GB"/>
              </w:rPr>
            </w:pPr>
            <w:r w:rsidRPr="00C044B1">
              <w:rPr>
                <w:b/>
                <w:sz w:val="20"/>
                <w:szCs w:val="20"/>
                <w:lang w:val="en-GB"/>
              </w:rPr>
              <w:t>PC1</w:t>
            </w:r>
          </w:p>
        </w:tc>
        <w:tc>
          <w:tcPr>
            <w:tcW w:w="64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b/>
                <w:sz w:val="20"/>
                <w:szCs w:val="20"/>
                <w:lang w:val="en-GB"/>
              </w:rPr>
            </w:pPr>
            <w:r w:rsidRPr="00C044B1">
              <w:rPr>
                <w:b/>
                <w:sz w:val="20"/>
                <w:szCs w:val="20"/>
                <w:lang w:val="en-GB"/>
              </w:rPr>
              <w:t>PC2</w:t>
            </w:r>
          </w:p>
        </w:tc>
      </w:tr>
      <w:tr w:rsidR="00693939" w:rsidRPr="00C044B1">
        <w:trPr>
          <w:trHeight w:val="360"/>
          <w:jc w:val="center"/>
        </w:trPr>
        <w:tc>
          <w:tcPr>
            <w:tcW w:w="273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Total root length</w:t>
            </w:r>
          </w:p>
        </w:tc>
        <w:tc>
          <w:tcPr>
            <w:tcW w:w="67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0.30</w:t>
            </w:r>
          </w:p>
        </w:tc>
        <w:tc>
          <w:tcPr>
            <w:tcW w:w="64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-0.14</w:t>
            </w:r>
          </w:p>
        </w:tc>
      </w:tr>
      <w:tr w:rsidR="00693939" w:rsidRPr="00C044B1">
        <w:trPr>
          <w:jc w:val="center"/>
        </w:trPr>
        <w:tc>
          <w:tcPr>
            <w:tcW w:w="273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Total first-order root length</w:t>
            </w:r>
          </w:p>
        </w:tc>
        <w:tc>
          <w:tcPr>
            <w:tcW w:w="67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b/>
                <w:sz w:val="20"/>
                <w:szCs w:val="20"/>
                <w:lang w:val="en-GB"/>
              </w:rPr>
            </w:pPr>
            <w:r w:rsidRPr="00C044B1">
              <w:rPr>
                <w:b/>
                <w:sz w:val="20"/>
                <w:szCs w:val="20"/>
                <w:lang w:val="en-GB"/>
              </w:rPr>
              <w:t>-0.80</w:t>
            </w:r>
          </w:p>
        </w:tc>
        <w:tc>
          <w:tcPr>
            <w:tcW w:w="64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0.07</w:t>
            </w:r>
          </w:p>
        </w:tc>
      </w:tr>
      <w:tr w:rsidR="00693939" w:rsidRPr="00C044B1">
        <w:trPr>
          <w:jc w:val="center"/>
        </w:trPr>
        <w:tc>
          <w:tcPr>
            <w:tcW w:w="273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Number of first-order roots</w:t>
            </w:r>
          </w:p>
        </w:tc>
        <w:tc>
          <w:tcPr>
            <w:tcW w:w="67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b/>
                <w:sz w:val="20"/>
                <w:szCs w:val="20"/>
                <w:lang w:val="en-GB"/>
              </w:rPr>
            </w:pPr>
            <w:r w:rsidRPr="00C044B1">
              <w:rPr>
                <w:b/>
                <w:sz w:val="20"/>
                <w:szCs w:val="20"/>
                <w:lang w:val="en-GB"/>
              </w:rPr>
              <w:t>-0.72</w:t>
            </w:r>
          </w:p>
        </w:tc>
        <w:tc>
          <w:tcPr>
            <w:tcW w:w="64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0.00</w:t>
            </w:r>
          </w:p>
        </w:tc>
      </w:tr>
      <w:tr w:rsidR="00693939" w:rsidRPr="00C044B1">
        <w:trPr>
          <w:jc w:val="center"/>
        </w:trPr>
        <w:tc>
          <w:tcPr>
            <w:tcW w:w="273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Total number of lateral roots</w:t>
            </w:r>
          </w:p>
        </w:tc>
        <w:tc>
          <w:tcPr>
            <w:tcW w:w="67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0.49</w:t>
            </w:r>
          </w:p>
        </w:tc>
        <w:tc>
          <w:tcPr>
            <w:tcW w:w="64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b/>
                <w:sz w:val="20"/>
                <w:szCs w:val="20"/>
                <w:lang w:val="en-GB"/>
              </w:rPr>
            </w:pPr>
            <w:r w:rsidRPr="00C044B1">
              <w:rPr>
                <w:b/>
                <w:sz w:val="20"/>
                <w:szCs w:val="20"/>
                <w:lang w:val="en-GB"/>
              </w:rPr>
              <w:t>-0.79</w:t>
            </w:r>
          </w:p>
        </w:tc>
      </w:tr>
      <w:tr w:rsidR="00693939" w:rsidRPr="00C044B1">
        <w:trPr>
          <w:jc w:val="center"/>
        </w:trPr>
        <w:tc>
          <w:tcPr>
            <w:tcW w:w="273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Total lateral root length</w:t>
            </w:r>
          </w:p>
        </w:tc>
        <w:tc>
          <w:tcPr>
            <w:tcW w:w="67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b/>
                <w:sz w:val="20"/>
                <w:szCs w:val="20"/>
                <w:lang w:val="en-GB"/>
              </w:rPr>
            </w:pPr>
            <w:r w:rsidRPr="00C044B1">
              <w:rPr>
                <w:b/>
                <w:sz w:val="20"/>
                <w:szCs w:val="20"/>
                <w:lang w:val="en-GB"/>
              </w:rPr>
              <w:t>0.89</w:t>
            </w:r>
          </w:p>
        </w:tc>
        <w:tc>
          <w:tcPr>
            <w:tcW w:w="64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-0.13</w:t>
            </w:r>
          </w:p>
        </w:tc>
      </w:tr>
      <w:tr w:rsidR="00693939" w:rsidRPr="00C044B1">
        <w:trPr>
          <w:jc w:val="center"/>
        </w:trPr>
        <w:tc>
          <w:tcPr>
            <w:tcW w:w="273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Number of second-order roots</w:t>
            </w:r>
          </w:p>
        </w:tc>
        <w:tc>
          <w:tcPr>
            <w:tcW w:w="67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0.36</w:t>
            </w:r>
          </w:p>
        </w:tc>
        <w:tc>
          <w:tcPr>
            <w:tcW w:w="64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-0.21</w:t>
            </w:r>
          </w:p>
        </w:tc>
      </w:tr>
      <w:tr w:rsidR="00693939" w:rsidRPr="00C044B1">
        <w:trPr>
          <w:jc w:val="center"/>
        </w:trPr>
        <w:tc>
          <w:tcPr>
            <w:tcW w:w="273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Number of third-order roots</w:t>
            </w:r>
          </w:p>
        </w:tc>
        <w:tc>
          <w:tcPr>
            <w:tcW w:w="67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0.26</w:t>
            </w:r>
          </w:p>
        </w:tc>
        <w:tc>
          <w:tcPr>
            <w:tcW w:w="64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b/>
                <w:sz w:val="20"/>
                <w:szCs w:val="20"/>
                <w:lang w:val="en-GB"/>
              </w:rPr>
            </w:pPr>
            <w:r w:rsidRPr="00C044B1">
              <w:rPr>
                <w:b/>
                <w:sz w:val="20"/>
                <w:szCs w:val="20"/>
                <w:lang w:val="en-GB"/>
              </w:rPr>
              <w:t>-0.72</w:t>
            </w:r>
          </w:p>
        </w:tc>
      </w:tr>
      <w:tr w:rsidR="00693939" w:rsidRPr="00C044B1">
        <w:trPr>
          <w:jc w:val="center"/>
        </w:trPr>
        <w:tc>
          <w:tcPr>
            <w:tcW w:w="273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Total second-order root length</w:t>
            </w:r>
          </w:p>
        </w:tc>
        <w:tc>
          <w:tcPr>
            <w:tcW w:w="67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b/>
                <w:sz w:val="20"/>
                <w:szCs w:val="20"/>
                <w:lang w:val="en-GB"/>
              </w:rPr>
            </w:pPr>
            <w:r w:rsidRPr="00C044B1">
              <w:rPr>
                <w:b/>
                <w:sz w:val="20"/>
                <w:szCs w:val="20"/>
                <w:lang w:val="en-GB"/>
              </w:rPr>
              <w:t>0.71</w:t>
            </w:r>
          </w:p>
        </w:tc>
        <w:tc>
          <w:tcPr>
            <w:tcW w:w="64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0.41</w:t>
            </w:r>
          </w:p>
        </w:tc>
      </w:tr>
      <w:tr w:rsidR="00693939" w:rsidRPr="00C044B1">
        <w:trPr>
          <w:jc w:val="center"/>
        </w:trPr>
        <w:tc>
          <w:tcPr>
            <w:tcW w:w="273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Total third-order root length</w:t>
            </w:r>
          </w:p>
        </w:tc>
        <w:tc>
          <w:tcPr>
            <w:tcW w:w="67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0.19</w:t>
            </w:r>
          </w:p>
        </w:tc>
        <w:tc>
          <w:tcPr>
            <w:tcW w:w="64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b/>
                <w:sz w:val="20"/>
                <w:szCs w:val="20"/>
                <w:lang w:val="en-GB"/>
              </w:rPr>
            </w:pPr>
            <w:r w:rsidRPr="00C044B1">
              <w:rPr>
                <w:b/>
                <w:sz w:val="20"/>
                <w:szCs w:val="20"/>
                <w:lang w:val="en-GB"/>
              </w:rPr>
              <w:t>-0.63</w:t>
            </w:r>
          </w:p>
        </w:tc>
      </w:tr>
      <w:tr w:rsidR="00693939" w:rsidRPr="00C044B1">
        <w:trPr>
          <w:jc w:val="center"/>
        </w:trPr>
        <w:tc>
          <w:tcPr>
            <w:tcW w:w="273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Mean first-order root diameter</w:t>
            </w:r>
          </w:p>
        </w:tc>
        <w:tc>
          <w:tcPr>
            <w:tcW w:w="67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b/>
                <w:sz w:val="20"/>
                <w:szCs w:val="20"/>
                <w:lang w:val="en-GB"/>
              </w:rPr>
            </w:pPr>
            <w:r w:rsidRPr="00C044B1">
              <w:rPr>
                <w:b/>
                <w:sz w:val="20"/>
                <w:szCs w:val="20"/>
                <w:lang w:val="en-GB"/>
              </w:rPr>
              <w:t>0.60</w:t>
            </w:r>
          </w:p>
        </w:tc>
        <w:tc>
          <w:tcPr>
            <w:tcW w:w="64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b/>
                <w:sz w:val="20"/>
                <w:szCs w:val="20"/>
                <w:lang w:val="en-GB"/>
              </w:rPr>
            </w:pPr>
            <w:r w:rsidRPr="00C044B1">
              <w:rPr>
                <w:b/>
                <w:sz w:val="20"/>
                <w:szCs w:val="20"/>
                <w:lang w:val="en-GB"/>
              </w:rPr>
              <w:t>0.67</w:t>
            </w:r>
          </w:p>
        </w:tc>
      </w:tr>
      <w:tr w:rsidR="00693939" w:rsidRPr="00C044B1">
        <w:trPr>
          <w:jc w:val="center"/>
        </w:trPr>
        <w:tc>
          <w:tcPr>
            <w:tcW w:w="273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Mean lateral root diameter</w:t>
            </w:r>
          </w:p>
        </w:tc>
        <w:tc>
          <w:tcPr>
            <w:tcW w:w="67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0.47</w:t>
            </w:r>
          </w:p>
        </w:tc>
        <w:tc>
          <w:tcPr>
            <w:tcW w:w="64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b/>
                <w:sz w:val="20"/>
                <w:szCs w:val="20"/>
                <w:lang w:val="en-GB"/>
              </w:rPr>
            </w:pPr>
            <w:r w:rsidRPr="00C044B1">
              <w:rPr>
                <w:b/>
                <w:sz w:val="20"/>
                <w:szCs w:val="20"/>
                <w:lang w:val="en-GB"/>
              </w:rPr>
              <w:t>0.80</w:t>
            </w:r>
          </w:p>
        </w:tc>
      </w:tr>
      <w:tr w:rsidR="00693939" w:rsidRPr="00C044B1">
        <w:trPr>
          <w:jc w:val="center"/>
        </w:trPr>
        <w:tc>
          <w:tcPr>
            <w:tcW w:w="273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Second-order root density</w:t>
            </w:r>
          </w:p>
        </w:tc>
        <w:tc>
          <w:tcPr>
            <w:tcW w:w="67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b/>
                <w:sz w:val="20"/>
                <w:szCs w:val="20"/>
                <w:lang w:val="en-GB"/>
              </w:rPr>
            </w:pPr>
            <w:r w:rsidRPr="00C044B1">
              <w:rPr>
                <w:b/>
                <w:sz w:val="20"/>
                <w:szCs w:val="20"/>
                <w:lang w:val="en-GB"/>
              </w:rPr>
              <w:t>0.86</w:t>
            </w:r>
          </w:p>
        </w:tc>
        <w:tc>
          <w:tcPr>
            <w:tcW w:w="64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-0.03</w:t>
            </w:r>
          </w:p>
        </w:tc>
      </w:tr>
      <w:tr w:rsidR="00693939" w:rsidRPr="00C044B1">
        <w:trPr>
          <w:jc w:val="center"/>
        </w:trPr>
        <w:tc>
          <w:tcPr>
            <w:tcW w:w="273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Height</w:t>
            </w:r>
          </w:p>
        </w:tc>
        <w:tc>
          <w:tcPr>
            <w:tcW w:w="67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0.16</w:t>
            </w:r>
          </w:p>
        </w:tc>
        <w:tc>
          <w:tcPr>
            <w:tcW w:w="64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0.13</w:t>
            </w:r>
          </w:p>
        </w:tc>
      </w:tr>
      <w:tr w:rsidR="00693939" w:rsidRPr="00C044B1">
        <w:trPr>
          <w:jc w:val="center"/>
        </w:trPr>
        <w:tc>
          <w:tcPr>
            <w:tcW w:w="273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Width</w:t>
            </w:r>
          </w:p>
        </w:tc>
        <w:tc>
          <w:tcPr>
            <w:tcW w:w="67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-0.29</w:t>
            </w:r>
          </w:p>
        </w:tc>
        <w:tc>
          <w:tcPr>
            <w:tcW w:w="64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0.19</w:t>
            </w:r>
          </w:p>
        </w:tc>
      </w:tr>
      <w:tr w:rsidR="00693939" w:rsidRPr="00C044B1">
        <w:trPr>
          <w:jc w:val="center"/>
        </w:trPr>
        <w:tc>
          <w:tcPr>
            <w:tcW w:w="273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Convex hull area</w:t>
            </w:r>
          </w:p>
        </w:tc>
        <w:tc>
          <w:tcPr>
            <w:tcW w:w="67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-0.13</w:t>
            </w:r>
          </w:p>
        </w:tc>
        <w:tc>
          <w:tcPr>
            <w:tcW w:w="64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0.31</w:t>
            </w:r>
          </w:p>
        </w:tc>
      </w:tr>
      <w:tr w:rsidR="00693939" w:rsidRPr="00C044B1">
        <w:trPr>
          <w:jc w:val="center"/>
        </w:trPr>
        <w:tc>
          <w:tcPr>
            <w:tcW w:w="273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Total root surface area</w:t>
            </w:r>
          </w:p>
        </w:tc>
        <w:tc>
          <w:tcPr>
            <w:tcW w:w="67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0.42</w:t>
            </w:r>
          </w:p>
        </w:tc>
        <w:tc>
          <w:tcPr>
            <w:tcW w:w="64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b/>
                <w:sz w:val="20"/>
                <w:szCs w:val="20"/>
                <w:lang w:val="en-GB"/>
              </w:rPr>
            </w:pPr>
            <w:r w:rsidRPr="00C044B1">
              <w:rPr>
                <w:b/>
                <w:sz w:val="20"/>
                <w:szCs w:val="20"/>
                <w:lang w:val="en-GB"/>
              </w:rPr>
              <w:t>0.80</w:t>
            </w:r>
          </w:p>
        </w:tc>
      </w:tr>
      <w:tr w:rsidR="00693939" w:rsidRPr="00C044B1">
        <w:trPr>
          <w:jc w:val="center"/>
        </w:trPr>
        <w:tc>
          <w:tcPr>
            <w:tcW w:w="273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Root system volume</w:t>
            </w:r>
          </w:p>
        </w:tc>
        <w:tc>
          <w:tcPr>
            <w:tcW w:w="67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0.48</w:t>
            </w:r>
          </w:p>
        </w:tc>
        <w:tc>
          <w:tcPr>
            <w:tcW w:w="64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b/>
                <w:sz w:val="20"/>
                <w:szCs w:val="20"/>
                <w:lang w:val="en-GB"/>
              </w:rPr>
            </w:pPr>
            <w:r w:rsidRPr="00C044B1">
              <w:rPr>
                <w:b/>
                <w:sz w:val="20"/>
                <w:szCs w:val="20"/>
                <w:lang w:val="en-GB"/>
              </w:rPr>
              <w:t>0.69</w:t>
            </w:r>
          </w:p>
        </w:tc>
      </w:tr>
      <w:tr w:rsidR="00693939" w:rsidRPr="00C044B1">
        <w:trPr>
          <w:jc w:val="center"/>
        </w:trPr>
        <w:tc>
          <w:tcPr>
            <w:tcW w:w="273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Magnitude</w:t>
            </w:r>
          </w:p>
        </w:tc>
        <w:tc>
          <w:tcPr>
            <w:tcW w:w="67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0.43</w:t>
            </w:r>
          </w:p>
        </w:tc>
        <w:tc>
          <w:tcPr>
            <w:tcW w:w="64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b/>
                <w:sz w:val="20"/>
                <w:szCs w:val="20"/>
                <w:lang w:val="en-GB"/>
              </w:rPr>
            </w:pPr>
            <w:r w:rsidRPr="00C044B1">
              <w:rPr>
                <w:b/>
                <w:sz w:val="20"/>
                <w:szCs w:val="20"/>
                <w:lang w:val="en-GB"/>
              </w:rPr>
              <w:t>-0.80</w:t>
            </w:r>
          </w:p>
        </w:tc>
      </w:tr>
      <w:tr w:rsidR="00693939" w:rsidRPr="00C044B1">
        <w:trPr>
          <w:jc w:val="center"/>
        </w:trPr>
        <w:tc>
          <w:tcPr>
            <w:tcW w:w="273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Altitude</w:t>
            </w:r>
          </w:p>
        </w:tc>
        <w:tc>
          <w:tcPr>
            <w:tcW w:w="67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b/>
                <w:sz w:val="20"/>
                <w:szCs w:val="20"/>
                <w:lang w:val="en-GB"/>
              </w:rPr>
            </w:pPr>
            <w:r w:rsidRPr="00C044B1">
              <w:rPr>
                <w:b/>
                <w:sz w:val="20"/>
                <w:szCs w:val="20"/>
                <w:lang w:val="en-GB"/>
              </w:rPr>
              <w:t>0.89</w:t>
            </w:r>
          </w:p>
        </w:tc>
        <w:tc>
          <w:tcPr>
            <w:tcW w:w="64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-0.01</w:t>
            </w:r>
          </w:p>
        </w:tc>
      </w:tr>
      <w:tr w:rsidR="00693939" w:rsidRPr="00C044B1">
        <w:trPr>
          <w:jc w:val="center"/>
        </w:trPr>
        <w:tc>
          <w:tcPr>
            <w:tcW w:w="2730"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External path length</w:t>
            </w:r>
          </w:p>
        </w:tc>
        <w:tc>
          <w:tcPr>
            <w:tcW w:w="67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b/>
                <w:sz w:val="20"/>
                <w:szCs w:val="20"/>
                <w:lang w:val="en-GB"/>
              </w:rPr>
            </w:pPr>
            <w:r w:rsidRPr="00C044B1">
              <w:rPr>
                <w:b/>
                <w:sz w:val="20"/>
                <w:szCs w:val="20"/>
                <w:lang w:val="en-GB"/>
              </w:rPr>
              <w:t>0.79</w:t>
            </w:r>
          </w:p>
        </w:tc>
        <w:tc>
          <w:tcPr>
            <w:tcW w:w="645" w:type="dxa"/>
            <w:shd w:val="clear" w:color="auto" w:fill="auto"/>
            <w:tcMar>
              <w:top w:w="100" w:type="dxa"/>
              <w:left w:w="100" w:type="dxa"/>
              <w:bottom w:w="100" w:type="dxa"/>
              <w:right w:w="100" w:type="dxa"/>
            </w:tcMar>
            <w:vAlign w:val="center"/>
          </w:tcPr>
          <w:p w:rsidR="00693939" w:rsidRPr="00C044B1" w:rsidRDefault="00AD5AE3" w:rsidP="005A2703">
            <w:pPr>
              <w:widowControl w:val="0"/>
              <w:spacing w:before="100" w:beforeAutospacing="1" w:after="100" w:afterAutospacing="1" w:line="240" w:lineRule="auto"/>
              <w:rPr>
                <w:sz w:val="20"/>
                <w:szCs w:val="20"/>
                <w:lang w:val="en-GB"/>
              </w:rPr>
            </w:pPr>
            <w:r w:rsidRPr="00C044B1">
              <w:rPr>
                <w:sz w:val="20"/>
                <w:szCs w:val="20"/>
                <w:lang w:val="en-GB"/>
              </w:rPr>
              <w:t>-0.39</w:t>
            </w:r>
          </w:p>
        </w:tc>
      </w:tr>
    </w:tbl>
    <w:p w:rsidR="00693939" w:rsidRPr="00C044B1" w:rsidRDefault="00693939" w:rsidP="006A1087">
      <w:pPr>
        <w:spacing w:before="100" w:beforeAutospacing="1" w:after="100" w:afterAutospacing="1"/>
        <w:rPr>
          <w:b/>
          <w:lang w:val="en-GB"/>
        </w:rPr>
      </w:pPr>
    </w:p>
    <w:sectPr w:rsidR="00693939" w:rsidRPr="00C044B1" w:rsidSect="00A71A41">
      <w:footerReference w:type="default" r:id="rId7"/>
      <w:pgSz w:w="12240" w:h="15840"/>
      <w:pgMar w:top="720" w:right="720" w:bottom="720" w:left="720" w:header="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B26" w:rsidRDefault="00827B26">
      <w:pPr>
        <w:spacing w:after="0" w:line="240" w:lineRule="auto"/>
      </w:pPr>
      <w:r>
        <w:separator/>
      </w:r>
    </w:p>
  </w:endnote>
  <w:endnote w:type="continuationSeparator" w:id="0">
    <w:p w:rsidR="00827B26" w:rsidRDefault="00827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95B" w:rsidRDefault="00DE295B">
    <w:pPr>
      <w:pStyle w:val="Footer"/>
      <w:jc w:val="right"/>
    </w:pPr>
  </w:p>
  <w:p w:rsidR="00DE295B" w:rsidRDefault="00DE295B">
    <w:pPr>
      <w:tabs>
        <w:tab w:val="center" w:pos="4680"/>
        <w:tab w:val="right" w:pos="9360"/>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B26" w:rsidRDefault="00827B26">
      <w:pPr>
        <w:spacing w:after="0" w:line="240" w:lineRule="auto"/>
      </w:pPr>
      <w:r>
        <w:separator/>
      </w:r>
    </w:p>
  </w:footnote>
  <w:footnote w:type="continuationSeparator" w:id="0">
    <w:p w:rsidR="00827B26" w:rsidRDefault="00827B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39"/>
    <w:rsid w:val="000872E7"/>
    <w:rsid w:val="000D4498"/>
    <w:rsid w:val="001B47E8"/>
    <w:rsid w:val="00302A2E"/>
    <w:rsid w:val="004E67ED"/>
    <w:rsid w:val="005A2703"/>
    <w:rsid w:val="005E0281"/>
    <w:rsid w:val="006463AC"/>
    <w:rsid w:val="00693939"/>
    <w:rsid w:val="006A1087"/>
    <w:rsid w:val="006C1383"/>
    <w:rsid w:val="006F1686"/>
    <w:rsid w:val="007C60FC"/>
    <w:rsid w:val="00827B26"/>
    <w:rsid w:val="00844A1C"/>
    <w:rsid w:val="008511F2"/>
    <w:rsid w:val="009F1708"/>
    <w:rsid w:val="00A71A41"/>
    <w:rsid w:val="00AD5AE3"/>
    <w:rsid w:val="00B02DF3"/>
    <w:rsid w:val="00B66124"/>
    <w:rsid w:val="00BD6759"/>
    <w:rsid w:val="00BD7652"/>
    <w:rsid w:val="00C044B1"/>
    <w:rsid w:val="00CF362A"/>
    <w:rsid w:val="00DE295B"/>
    <w:rsid w:val="00EE3BA1"/>
    <w:rsid w:val="00F21EDC"/>
    <w:rsid w:val="00F4618F"/>
    <w:rsid w:val="00FD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4EC530A-3496-4D5B-AD0E-EE435C51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b/>
      <w:sz w:val="40"/>
      <w:szCs w:val="40"/>
    </w:rPr>
  </w:style>
  <w:style w:type="paragraph" w:styleId="Heading2">
    <w:name w:val="heading 2"/>
    <w:basedOn w:val="Normal"/>
    <w:next w:val="Normal"/>
    <w:pPr>
      <w:keepNext/>
      <w:keepLines/>
      <w:spacing w:before="360"/>
      <w:outlineLvl w:val="1"/>
    </w:pPr>
    <w:rPr>
      <w:b/>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D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498"/>
  </w:style>
  <w:style w:type="paragraph" w:styleId="Footer">
    <w:name w:val="footer"/>
    <w:basedOn w:val="Normal"/>
    <w:link w:val="FooterChar"/>
    <w:uiPriority w:val="99"/>
    <w:unhideWhenUsed/>
    <w:rsid w:val="000D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498"/>
  </w:style>
  <w:style w:type="paragraph" w:styleId="BalloonText">
    <w:name w:val="Balloon Text"/>
    <w:basedOn w:val="Normal"/>
    <w:link w:val="BalloonTextChar"/>
    <w:uiPriority w:val="99"/>
    <w:semiHidden/>
    <w:unhideWhenUsed/>
    <w:rsid w:val="006A10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0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282DB-B5D8-43DA-B404-35A883A5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Leuphana Universität Lüneburg</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Benjamin_Delory</dc:creator>
  <cp:lastModifiedBy>Molly Cranston</cp:lastModifiedBy>
  <cp:revision>4</cp:revision>
  <cp:lastPrinted>2017-12-16T12:07:00Z</cp:lastPrinted>
  <dcterms:created xsi:type="dcterms:W3CDTF">2017-12-16T13:56:00Z</dcterms:created>
  <dcterms:modified xsi:type="dcterms:W3CDTF">2017-12-27T15:16:00Z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http://www.zotero.org/styles/journal-of-ecology</vt:lpwstr>
  </property>
  <property fmtid="{D5CDD505-2E9C-101B-9397-08002B2CF9AE}" pid="13" name="Mendeley Recent Style Name 5_1">
    <vt:lpwstr>Journal of Ecology</vt:lpwstr>
  </property>
  <property fmtid="{D5CDD505-2E9C-101B-9397-08002B2CF9AE}" pid="14" name="Mendeley Recent Style Id 6_1">
    <vt:lpwstr>http://www.zotero.org/styles/methods-in-ecology-and-evolution</vt:lpwstr>
  </property>
  <property fmtid="{D5CDD505-2E9C-101B-9397-08002B2CF9AE}" pid="15" name="Mendeley Recent Style Name 6_1">
    <vt:lpwstr>Methods in Ecology and Evolution</vt:lpwstr>
  </property>
  <property fmtid="{D5CDD505-2E9C-101B-9397-08002B2CF9AE}" pid="16" name="Mendeley Recent Style Id 7_1">
    <vt:lpwstr>http://www.zotero.org/styles/springerprotocols</vt:lpwstr>
  </property>
  <property fmtid="{D5CDD505-2E9C-101B-9397-08002B2CF9AE}" pid="17" name="Mendeley Recent Style Name 7_1">
    <vt:lpwstr>SpringerProtocols</vt:lpwstr>
  </property>
  <property fmtid="{D5CDD505-2E9C-101B-9397-08002B2CF9AE}" pid="18" name="Mendeley Recent Style Id 8_1">
    <vt:lpwstr>http://csl.mendeley.com/styles/17442061/springerprotocols2</vt:lpwstr>
  </property>
  <property fmtid="{D5CDD505-2E9C-101B-9397-08002B2CF9AE}" pid="19" name="Mendeley Recent Style Name 8_1">
    <vt:lpwstr>SpringerProtocols2 - Benjamin M. Delory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c00d6108-be8e-30d1-9b9f-ec6a31145178</vt:lpwstr>
  </property>
  <property fmtid="{D5CDD505-2E9C-101B-9397-08002B2CF9AE}" pid="24" name="Mendeley Citation Style_1">
    <vt:lpwstr>http://www.zotero.org/styles/vancouver</vt:lpwstr>
  </property>
</Properties>
</file>