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7" w:type="dxa"/>
        <w:tblLook w:val="04A0" w:firstRow="1" w:lastRow="0" w:firstColumn="1" w:lastColumn="0" w:noHBand="0" w:noVBand="1"/>
      </w:tblPr>
      <w:tblGrid>
        <w:gridCol w:w="1200"/>
        <w:gridCol w:w="235"/>
        <w:gridCol w:w="1221"/>
        <w:gridCol w:w="3428"/>
        <w:gridCol w:w="2558"/>
        <w:gridCol w:w="1330"/>
        <w:gridCol w:w="2077"/>
        <w:gridCol w:w="2238"/>
      </w:tblGrid>
      <w:tr w:rsidR="00BD14EE" w:rsidRPr="00E25C13" w:rsidTr="00E110C1">
        <w:trPr>
          <w:trHeight w:val="591"/>
        </w:trPr>
        <w:tc>
          <w:tcPr>
            <w:tcW w:w="142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BD14EE" w:rsidRPr="00E25C13" w:rsidRDefault="00BD14EE" w:rsidP="00E11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20" w:after="48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E25C13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 xml:space="preserve">Appendix 2. Risk factors </w:t>
            </w:r>
            <w:r w:rsidR="008B5C3C" w:rsidRPr="00E25C13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 xml:space="preserve">examined </w:t>
            </w:r>
            <w:r w:rsidRPr="00E25C13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>and association</w:t>
            </w:r>
            <w:r w:rsidR="008B5C3C" w:rsidRPr="00E25C13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E25C13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 xml:space="preserve"> with AMR-NG</w:t>
            </w:r>
            <w:r w:rsidR="008B5C3C" w:rsidRPr="00E25C13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n-US"/>
              </w:rPr>
              <w:t>, as reported by authors of included studies</w:t>
            </w:r>
          </w:p>
          <w:p w:rsidR="00BD14EE" w:rsidRPr="00E25C13" w:rsidRDefault="00BD14EE" w:rsidP="00E110C1">
            <w:pPr>
              <w:spacing w:beforeLines="40" w:before="96" w:afterLines="20" w:after="48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B544DE" w:rsidRPr="00E25C13" w:rsidTr="00E110C1">
        <w:trPr>
          <w:trHeight w:val="591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</w:rPr>
              <w:t>Risk factors</w:t>
            </w:r>
            <w:r w:rsidRPr="00E25C1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74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 of articles that mention the characteristic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 of articles that did not mention the characteristic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</w:rPr>
              <w:t>Antibiotic class</w:t>
            </w:r>
            <w:r w:rsidRPr="00E25C1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</w:tr>
      <w:tr w:rsidR="00B544DE" w:rsidRPr="00E25C13" w:rsidTr="00E110C1">
        <w:trPr>
          <w:trHeight w:val="1221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number of articles that mention the characteristic</w:t>
            </w:r>
            <w:r w:rsidRPr="00E25C1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 of articles that report an association with AMR-NG</w:t>
            </w:r>
            <w:r w:rsidRPr="00E25C1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Number of articles that report no association with AMR-NG</w:t>
            </w: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Associated with any risk factor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hideMark/>
          </w:tcPr>
          <w:p w:rsidR="00B544DE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Not associated with any risk factor</w:t>
            </w:r>
          </w:p>
        </w:tc>
      </w:tr>
      <w:tr w:rsidR="004C019F" w:rsidRPr="00E25C13" w:rsidTr="00E110C1">
        <w:trPr>
          <w:trHeight w:val="187"/>
        </w:trPr>
        <w:tc>
          <w:tcPr>
            <w:tcW w:w="14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b/>
                <w:sz w:val="18"/>
                <w:szCs w:val="18"/>
              </w:rPr>
            </w:pPr>
            <w:r w:rsidRPr="00E25C13">
              <w:rPr>
                <w:rFonts w:ascii="Arial" w:hAnsi="Arial" w:cs="Arial"/>
                <w:b/>
                <w:sz w:val="18"/>
                <w:szCs w:val="18"/>
                <w:lang w:val="en-US"/>
              </w:rPr>
              <w:t>Epidemiological factors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F1AAB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>Age (older or younger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B7C0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B7C0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12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300D19" w:rsidRPr="00E25C13">
              <w:rPr>
                <w:rFonts w:ascii="Arial" w:hAnsi="Arial" w:cs="Arial"/>
                <w:sz w:val="18"/>
                <w:szCs w:val="18"/>
              </w:rPr>
              <w:t>22</w:t>
            </w:r>
            <w:r w:rsidR="00E54008" w:rsidRPr="00E25C13">
              <w:rPr>
                <w:rFonts w:ascii="Arial" w:hAnsi="Arial" w:cs="Arial"/>
                <w:sz w:val="18"/>
                <w:szCs w:val="18"/>
              </w:rPr>
              <w:t>,23,24,25,27,28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E54008" w:rsidRPr="00E25C13">
              <w:rPr>
                <w:rFonts w:ascii="Arial" w:hAnsi="Arial" w:cs="Arial"/>
                <w:sz w:val="18"/>
                <w:szCs w:val="18"/>
              </w:rPr>
              <w:t>35,36,</w:t>
            </w:r>
            <w:r w:rsidR="00300D19" w:rsidRPr="00E25C13">
              <w:rPr>
                <w:rFonts w:ascii="Arial" w:hAnsi="Arial" w:cs="Arial"/>
                <w:sz w:val="18"/>
                <w:szCs w:val="18"/>
              </w:rPr>
              <w:t>39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300D19" w:rsidRPr="00E25C13">
              <w:rPr>
                <w:rFonts w:ascii="Arial" w:hAnsi="Arial" w:cs="Arial"/>
                <w:sz w:val="18"/>
                <w:szCs w:val="18"/>
              </w:rPr>
              <w:t>41</w:t>
            </w:r>
            <w:r w:rsidR="001552EE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300D19" w:rsidRPr="00E25C13">
              <w:rPr>
                <w:rFonts w:ascii="Arial" w:hAnsi="Arial" w:cs="Arial"/>
                <w:sz w:val="18"/>
                <w:szCs w:val="18"/>
              </w:rPr>
              <w:t>42</w:t>
            </w:r>
            <w:r w:rsidR="001552EE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300D19" w:rsidRPr="00E25C13">
              <w:rPr>
                <w:rFonts w:ascii="Arial" w:hAnsi="Arial" w:cs="Arial"/>
                <w:sz w:val="18"/>
                <w:szCs w:val="18"/>
              </w:rPr>
              <w:t>44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B7C0E" w:rsidP="009F519A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9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300D19" w:rsidRPr="00E25C13">
              <w:rPr>
                <w:rFonts w:ascii="Arial" w:hAnsi="Arial" w:cs="Arial"/>
                <w:sz w:val="18"/>
                <w:szCs w:val="18"/>
                <w:lang w:val="fr-CH"/>
              </w:rPr>
              <w:t>1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4,</w:t>
            </w:r>
            <w:r w:rsidR="00300D19" w:rsidRPr="00E25C13">
              <w:rPr>
                <w:rFonts w:ascii="Arial" w:hAnsi="Arial" w:cs="Arial"/>
                <w:sz w:val="18"/>
                <w:szCs w:val="18"/>
                <w:lang w:val="fr-CH"/>
              </w:rPr>
              <w:t>23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300D19" w:rsidRPr="00E25C13">
              <w:rPr>
                <w:rFonts w:ascii="Arial" w:hAnsi="Arial" w:cs="Arial"/>
                <w:sz w:val="18"/>
                <w:szCs w:val="18"/>
                <w:lang w:val="fr-CH"/>
              </w:rPr>
              <w:t>25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27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28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29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36</w:t>
            </w:r>
            <w:r w:rsidR="009A301C" w:rsidRPr="00E25C13">
              <w:rPr>
                <w:rFonts w:ascii="Arial" w:hAnsi="Arial" w:cs="Arial"/>
                <w:sz w:val="18"/>
                <w:szCs w:val="18"/>
                <w:lang w:val="fr-CH"/>
              </w:rPr>
              <w:t>,43,44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B7C0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TETRACYCLINE, PENICILLINS, FLUOROQUINOLONES, MACROLIDES, CEPHALOSPORINS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FLUOROQUINOLONES, CEPHALOSPORINS, MACROLIDES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Sex (me</w:t>
            </w:r>
            <w:r w:rsidRPr="00E25C13">
              <w:rPr>
                <w:rFonts w:ascii="Arial" w:hAnsi="Arial" w:cs="Arial"/>
                <w:sz w:val="18"/>
                <w:szCs w:val="18"/>
              </w:rPr>
              <w:t>n or women)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EE77E3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EE77E3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8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23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24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25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27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28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9A301C" w:rsidRPr="00E25C13">
              <w:rPr>
                <w:rFonts w:ascii="Arial" w:hAnsi="Arial" w:cs="Arial"/>
                <w:sz w:val="18"/>
                <w:szCs w:val="18"/>
              </w:rPr>
              <w:t>33,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35</w:t>
            </w:r>
            <w:r w:rsidR="009A301C" w:rsidRPr="00E25C13">
              <w:rPr>
                <w:rFonts w:ascii="Arial" w:hAnsi="Arial" w:cs="Arial"/>
                <w:sz w:val="18"/>
                <w:szCs w:val="18"/>
              </w:rPr>
              <w:t>,41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EE77E3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4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14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27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29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36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EE77E3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TETRACYCLINES, FLUOROQUINOLONES, CEPHALOSPORINS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FLUOROQUINOLONES, CEPHALOSPORINS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Racial or ethnic group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129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129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7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14</w:t>
            </w:r>
            <w:r w:rsidR="00EE77E3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23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26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28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32</w:t>
            </w:r>
            <w:r w:rsidR="00FD5CBE" w:rsidRPr="00E25C13">
              <w:rPr>
                <w:rFonts w:ascii="Arial" w:hAnsi="Arial" w:cs="Arial"/>
                <w:sz w:val="18"/>
                <w:szCs w:val="18"/>
                <w:lang w:val="fr-CH"/>
              </w:rPr>
              <w:t>,39,44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129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3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27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28</w:t>
            </w:r>
            <w:r w:rsidR="00FD5CBE" w:rsidRPr="00E25C13">
              <w:rPr>
                <w:rFonts w:ascii="Arial" w:hAnsi="Arial" w:cs="Arial"/>
                <w:sz w:val="18"/>
                <w:szCs w:val="18"/>
                <w:lang w:val="fr-CH"/>
              </w:rPr>
              <w:t>,44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129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16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PENICILLINS, FLUOROQUINOLONES, CEPHALOSPORINS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FLUOROQUINOLONES, MACROLIDES, CEPHALOSPORINS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Sexual orientation </w:t>
            </w: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 xml:space="preserve">(MSM or heterosexual men)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129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9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23</w:t>
            </w:r>
            <w:r w:rsidR="00612958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25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35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37</w:t>
            </w:r>
            <w:r w:rsidR="00B67738" w:rsidRPr="00E25C13">
              <w:rPr>
                <w:rFonts w:ascii="Arial" w:hAnsi="Arial" w:cs="Arial"/>
                <w:sz w:val="18"/>
                <w:szCs w:val="18"/>
                <w:lang w:val="fr-CH"/>
              </w:rPr>
              <w:t>,39,40,41,42,44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129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1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4,</w:t>
            </w:r>
            <w:r w:rsidR="00B67738" w:rsidRPr="00E25C13">
              <w:rPr>
                <w:rFonts w:ascii="Arial" w:hAnsi="Arial" w:cs="Arial"/>
                <w:sz w:val="18"/>
                <w:szCs w:val="18"/>
                <w:lang w:val="fr-CH"/>
              </w:rPr>
              <w:t>38,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39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43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129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FLUOROQUINOLONES, CEPHALOSPORINS, MACROLIDES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FLUOROQUINOLONES, MACROLIDES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Socioeconomic </w:t>
            </w:r>
            <w:r w:rsidR="00667517" w:rsidRPr="00E25C13">
              <w:rPr>
                <w:rFonts w:ascii="Arial" w:hAnsi="Arial" w:cs="Arial"/>
                <w:sz w:val="18"/>
                <w:szCs w:val="18"/>
                <w:lang w:val="fr-CH"/>
              </w:rPr>
              <w:t>position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1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8C060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1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TETRACYCLINES, CEPHALOSPORINS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19F" w:rsidRPr="00E25C13" w:rsidTr="00E110C1">
        <w:trPr>
          <w:trHeight w:val="223"/>
        </w:trPr>
        <w:tc>
          <w:tcPr>
            <w:tcW w:w="142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</w:rPr>
              <w:t>Behavioural factors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>Multiple sex partners and new partners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8C060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8C060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8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22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23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24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27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28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35</w:t>
            </w:r>
            <w:r w:rsidR="00B67738" w:rsidRPr="00E25C13">
              <w:rPr>
                <w:rFonts w:ascii="Arial" w:hAnsi="Arial" w:cs="Arial"/>
                <w:sz w:val="18"/>
                <w:szCs w:val="18"/>
                <w:lang w:val="fr-CH"/>
              </w:rPr>
              <w:t>,38,40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5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B67738" w:rsidRPr="00E25C13">
              <w:rPr>
                <w:rFonts w:ascii="Arial" w:hAnsi="Arial" w:cs="Arial"/>
                <w:sz w:val="18"/>
                <w:szCs w:val="18"/>
                <w:lang w:val="fr-CH"/>
              </w:rPr>
              <w:t>14,29,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33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,3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8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  <w:lang w:val="fr-CH"/>
              </w:rPr>
              <w:t>39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8C060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PENICILLINS, FLUOROQUINOLONES, CEPHALOSPORINS, MACROLIDES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TETRACYCLINES, MACROLIDES, FLUOROQUINOLONES, CE</w:t>
            </w:r>
            <w:r w:rsidRPr="00E25C13">
              <w:rPr>
                <w:rFonts w:ascii="Arial" w:hAnsi="Arial" w:cs="Arial"/>
                <w:sz w:val="18"/>
                <w:szCs w:val="18"/>
              </w:rPr>
              <w:t>PHALOSPORINS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Sex with partners abroad</w:t>
            </w:r>
            <w:r w:rsidR="008C0602" w:rsidRPr="00E25C13">
              <w:rPr>
                <w:rFonts w:ascii="Arial" w:hAnsi="Arial" w:cs="Arial"/>
                <w:sz w:val="18"/>
                <w:szCs w:val="18"/>
                <w:lang w:val="en-US"/>
              </w:rPr>
              <w:t xml:space="preserve"> or travel history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B7EEA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6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1</w:t>
            </w:r>
            <w:r w:rsidRPr="00E25C13">
              <w:rPr>
                <w:rFonts w:ascii="Arial" w:hAnsi="Arial" w:cs="Arial"/>
                <w:sz w:val="18"/>
                <w:szCs w:val="18"/>
              </w:rPr>
              <w:t>4,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23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28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30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35</w:t>
            </w:r>
            <w:r w:rsidR="00B67738" w:rsidRPr="00E25C13">
              <w:rPr>
                <w:rFonts w:ascii="Arial" w:hAnsi="Arial" w:cs="Arial"/>
                <w:sz w:val="18"/>
                <w:szCs w:val="18"/>
              </w:rPr>
              <w:t>,43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8C060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7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1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4,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23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27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28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29</w:t>
            </w:r>
            <w:r w:rsidR="00B67738" w:rsidRPr="00E25C13">
              <w:rPr>
                <w:rFonts w:ascii="Arial" w:hAnsi="Arial" w:cs="Arial"/>
                <w:sz w:val="18"/>
                <w:szCs w:val="18"/>
              </w:rPr>
              <w:t>,38,39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B7EEA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FLUOROQUINOLONES, CEPHALOSPORINS, TRIPLE ANTIBIOTICS (CIPROFLOXACIN, TETRACYCLINE AND PENICILLIN)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FLUOROQUINOLONES, MACROLIDES, CEPHALOSPORINS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>Exchanging sex for money</w:t>
            </w:r>
            <w:r w:rsidR="00EC543D" w:rsidRPr="00E25C13">
              <w:rPr>
                <w:rFonts w:ascii="Arial" w:hAnsi="Arial" w:cs="Arial"/>
                <w:sz w:val="18"/>
                <w:szCs w:val="18"/>
                <w:lang w:val="en-US"/>
              </w:rPr>
              <w:t xml:space="preserve"> or prostitute contact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B7EEA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B7EEA" w:rsidP="00BC59AC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4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22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B0E0C" w:rsidRPr="00E25C13">
              <w:rPr>
                <w:rFonts w:ascii="Arial" w:hAnsi="Arial" w:cs="Arial"/>
                <w:sz w:val="18"/>
                <w:szCs w:val="18"/>
              </w:rPr>
              <w:t>31,</w:t>
            </w:r>
            <w:r w:rsidRPr="00E25C13">
              <w:rPr>
                <w:rFonts w:ascii="Arial" w:hAnsi="Arial" w:cs="Arial"/>
                <w:sz w:val="18"/>
                <w:szCs w:val="18"/>
              </w:rPr>
              <w:t>3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8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44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B7EEA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4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6B0E0C" w:rsidRPr="00E25C13">
              <w:rPr>
                <w:rFonts w:ascii="Arial" w:hAnsi="Arial" w:cs="Arial"/>
                <w:sz w:val="18"/>
                <w:szCs w:val="18"/>
              </w:rPr>
              <w:t>14,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33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Pr="00E25C13">
              <w:rPr>
                <w:rFonts w:ascii="Arial" w:hAnsi="Arial" w:cs="Arial"/>
                <w:sz w:val="18"/>
                <w:szCs w:val="18"/>
              </w:rPr>
              <w:t>3</w:t>
            </w:r>
            <w:r w:rsidR="008D7DCE" w:rsidRPr="00E25C13">
              <w:rPr>
                <w:rFonts w:ascii="Arial" w:hAnsi="Arial" w:cs="Arial"/>
                <w:sz w:val="18"/>
                <w:szCs w:val="18"/>
              </w:rPr>
              <w:t>8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39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B7EEA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PENICILLINS, FLUOROQUINOLONES, MACROLIDES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TETRACYCLINES, FLUOROQUINOLONES, MACROLIDES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Alc</w:t>
            </w:r>
            <w:r w:rsidR="00BB7EEA" w:rsidRPr="00E25C13">
              <w:rPr>
                <w:rFonts w:ascii="Arial" w:hAnsi="Arial" w:cs="Arial"/>
                <w:sz w:val="18"/>
                <w:szCs w:val="18"/>
              </w:rPr>
              <w:t>o</w:t>
            </w:r>
            <w:r w:rsidRPr="00E25C13">
              <w:rPr>
                <w:rFonts w:ascii="Arial" w:hAnsi="Arial" w:cs="Arial"/>
                <w:sz w:val="18"/>
                <w:szCs w:val="18"/>
              </w:rPr>
              <w:t>hol and drug use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B7EEA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3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22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B0E0C" w:rsidRPr="00E25C13">
              <w:rPr>
                <w:rFonts w:ascii="Arial" w:hAnsi="Arial" w:cs="Arial"/>
                <w:sz w:val="18"/>
                <w:szCs w:val="18"/>
              </w:rPr>
              <w:t>24,</w:t>
            </w:r>
            <w:r w:rsidRPr="00E25C13">
              <w:rPr>
                <w:rFonts w:ascii="Arial" w:hAnsi="Arial" w:cs="Arial"/>
                <w:sz w:val="18"/>
                <w:szCs w:val="18"/>
              </w:rPr>
              <w:t>3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8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39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B7EEA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PENICILLINS, FLUOROQUINOLONES, TETRACYCLINES, MACROLIDES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FLUOROQUINOLONES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Life time sex partners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en-GB"/>
              </w:rPr>
              <w:t>22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TETRACYCLINES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>Type of relationship (casual or not)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en-GB"/>
              </w:rPr>
              <w:t>31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en-GB"/>
              </w:rPr>
              <w:t>36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FLUOROQUINOLONES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CEPHALOSPORINS</w:t>
            </w:r>
          </w:p>
        </w:tc>
      </w:tr>
      <w:tr w:rsidR="004C019F" w:rsidRPr="00E25C13" w:rsidTr="00E110C1">
        <w:trPr>
          <w:trHeight w:val="223"/>
        </w:trPr>
        <w:tc>
          <w:tcPr>
            <w:tcW w:w="142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Clinical factors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Anatomical site of infection</w:t>
            </w: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EC543D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EC543D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3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25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27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28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EC543D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2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25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27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EC543D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FLUOROQUINOLONES, CEPHALOSPORINS, MACROLIDES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MACROLIDES, CEPHALOSPORINS, FLUOROQUINOLONES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8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>Co-infection with HIV or STIs</w:t>
            </w:r>
          </w:p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9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23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25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27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28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35</w:t>
            </w:r>
            <w:r w:rsidR="006B0E0C" w:rsidRPr="00E25C13">
              <w:rPr>
                <w:rFonts w:ascii="Arial" w:hAnsi="Arial" w:cs="Arial"/>
                <w:sz w:val="18"/>
                <w:szCs w:val="18"/>
                <w:lang w:val="fr-CH"/>
              </w:rPr>
              <w:t>,39,40,42,44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548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5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23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27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28</w:t>
            </w:r>
            <w:r w:rsidR="001F137E" w:rsidRPr="00E25C13">
              <w:rPr>
                <w:rFonts w:ascii="Arial" w:hAnsi="Arial" w:cs="Arial"/>
                <w:sz w:val="18"/>
                <w:szCs w:val="18"/>
                <w:lang w:val="fr-CH"/>
              </w:rPr>
              <w:t>,42,44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548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15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FLUOROQUINOLONES, CEPHALOSPORINS, MACROLIDES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FLUOROQUINOLONES, CEPHALOSPORINS, MACROLIDES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Recent antibio</w:t>
            </w:r>
            <w:r w:rsidRPr="00E25C13">
              <w:rPr>
                <w:rFonts w:ascii="Arial" w:hAnsi="Arial" w:cs="Arial"/>
                <w:sz w:val="18"/>
                <w:szCs w:val="18"/>
              </w:rPr>
              <w:t>tic use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548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548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4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2D3B77" w:rsidRPr="00E25C13">
              <w:rPr>
                <w:rFonts w:ascii="Arial" w:hAnsi="Arial" w:cs="Arial"/>
                <w:sz w:val="18"/>
                <w:szCs w:val="18"/>
              </w:rPr>
              <w:t>14,31,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33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3</w:t>
            </w:r>
            <w:r w:rsidR="002D3B77" w:rsidRPr="00E25C13">
              <w:rPr>
                <w:rFonts w:ascii="Arial" w:hAnsi="Arial" w:cs="Arial"/>
                <w:sz w:val="18"/>
                <w:szCs w:val="18"/>
              </w:rPr>
              <w:t>9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3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1C0D3D" w:rsidRPr="00E25C13">
              <w:rPr>
                <w:rFonts w:ascii="Arial" w:hAnsi="Arial" w:cs="Arial"/>
                <w:sz w:val="18"/>
                <w:szCs w:val="18"/>
              </w:rPr>
              <w:t>14,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22</w:t>
            </w:r>
            <w:r w:rsidRPr="00E25C13">
              <w:rPr>
                <w:rFonts w:ascii="Arial" w:hAnsi="Arial" w:cs="Arial"/>
                <w:sz w:val="18"/>
                <w:szCs w:val="18"/>
              </w:rPr>
              <w:t>,3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8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548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TETRACYCLINES, FLUOROQUINOLONES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TETRACYCLINES, PENICILLINS, FLUOROQUINOLONES, MACROLIDES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</w:t>
            </w:r>
            <w:r w:rsidR="00667517" w:rsidRPr="00E25C13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>onorrh</w:t>
            </w:r>
            <w:r w:rsidR="00667517" w:rsidRPr="00E25C13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>ea episodes/</w:t>
            </w:r>
            <w:r w:rsidR="00667517" w:rsidRPr="00E25C13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E25C13">
              <w:rPr>
                <w:rFonts w:ascii="Arial" w:hAnsi="Arial" w:cs="Arial"/>
                <w:sz w:val="18"/>
                <w:szCs w:val="18"/>
                <w:lang w:val="en-US"/>
              </w:rPr>
              <w:t>rior history of gonorrhoea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A648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548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6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22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23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25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28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35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37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54858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5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1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4,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23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25</w:t>
            </w: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28</w:t>
            </w:r>
            <w:r w:rsidR="004C019F" w:rsidRPr="00E25C13">
              <w:rPr>
                <w:rFonts w:ascii="Arial" w:hAnsi="Arial" w:cs="Arial"/>
                <w:sz w:val="18"/>
                <w:szCs w:val="18"/>
                <w:lang w:val="fr-CH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fr-CH"/>
              </w:rPr>
              <w:t>36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fr-CH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A648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16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PENICILLINS, FLUOROQUINOLONES, CEPHALOSPORINS, MACROLIDES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t>FLUOROQUINOLONES, CEPHALOSPORINS, MACROLIDES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fr-CH"/>
              </w:rPr>
              <w:lastRenderedPageBreak/>
              <w:t>Y</w:t>
            </w:r>
            <w:r w:rsidRPr="00E25C13">
              <w:rPr>
                <w:rFonts w:ascii="Arial" w:hAnsi="Arial" w:cs="Arial"/>
                <w:sz w:val="18"/>
                <w:szCs w:val="18"/>
              </w:rPr>
              <w:t xml:space="preserve">ear of isolation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DD710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A648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6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23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25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27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28</w:t>
            </w:r>
            <w:r w:rsidR="004C019F"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36</w:t>
            </w:r>
            <w:r w:rsidR="00F137B0" w:rsidRPr="00E25C13">
              <w:rPr>
                <w:rFonts w:ascii="Arial" w:hAnsi="Arial" w:cs="Arial"/>
                <w:sz w:val="18"/>
                <w:szCs w:val="18"/>
              </w:rPr>
              <w:t>,44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A648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5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1</w:t>
            </w:r>
            <w:r w:rsidRPr="00E25C13">
              <w:rPr>
                <w:rFonts w:ascii="Arial" w:hAnsi="Arial" w:cs="Arial"/>
                <w:sz w:val="18"/>
                <w:szCs w:val="18"/>
              </w:rPr>
              <w:t>4,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25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27</w:t>
            </w:r>
            <w:r w:rsidRPr="00E25C13">
              <w:rPr>
                <w:rFonts w:ascii="Arial" w:hAnsi="Arial" w:cs="Arial"/>
                <w:sz w:val="18"/>
                <w:szCs w:val="18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36</w:t>
            </w:r>
            <w:r w:rsidR="00F137B0" w:rsidRPr="00E25C13">
              <w:rPr>
                <w:rFonts w:ascii="Arial" w:hAnsi="Arial" w:cs="Arial"/>
                <w:sz w:val="18"/>
                <w:szCs w:val="18"/>
              </w:rPr>
              <w:t>,44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DD710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FLUOROQUINOLONES, CEPHALOSPORINS, MACROLIDES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CEPHALOSPORINS, MACROLIDES, FLUOROQUINOLONES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History of STIs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DD710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6A6482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C13">
              <w:rPr>
                <w:rFonts w:ascii="Arial" w:hAnsi="Arial" w:cs="Arial"/>
                <w:sz w:val="18"/>
                <w:szCs w:val="18"/>
              </w:rPr>
              <w:t>1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</w:rPr>
              <w:t>24</w:t>
            </w:r>
            <w:r w:rsidR="009F19FB" w:rsidRPr="00E25C13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hideMark/>
          </w:tcPr>
          <w:p w:rsidR="004C019F" w:rsidRPr="00E25C13" w:rsidRDefault="004C019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C59AC" w:rsidRPr="00E25C1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4,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en-GB"/>
              </w:rPr>
              <w:t>27</w:t>
            </w: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en-GB"/>
              </w:rPr>
              <w:t>28</w:t>
            </w:r>
            <w:r w:rsidR="006A6482" w:rsidRPr="00E25C13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644EED" w:rsidRPr="00E25C13">
              <w:rPr>
                <w:rFonts w:ascii="Arial" w:hAnsi="Arial" w:cs="Arial"/>
                <w:sz w:val="18"/>
                <w:szCs w:val="18"/>
                <w:lang w:val="en-GB"/>
              </w:rPr>
              <w:t>29</w:t>
            </w:r>
            <w:r w:rsidR="0042628E" w:rsidRPr="00E25C13">
              <w:rPr>
                <w:rFonts w:ascii="Arial" w:hAnsi="Arial" w:cs="Arial"/>
                <w:sz w:val="18"/>
                <w:szCs w:val="18"/>
                <w:lang w:val="en-GB"/>
              </w:rPr>
              <w:t>,38</w:t>
            </w:r>
            <w:r w:rsidR="009F19FB" w:rsidRPr="00E25C13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hideMark/>
          </w:tcPr>
          <w:p w:rsidR="004C019F" w:rsidRPr="00E25C13" w:rsidRDefault="00DD710F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TETRACYCLINES, PENCILLINS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hideMark/>
          </w:tcPr>
          <w:p w:rsidR="004C019F" w:rsidRPr="00E25C13" w:rsidRDefault="00B544DE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FLUOROQUINOLONES, CEPHALOSPORINS, MACROLIDES</w:t>
            </w:r>
          </w:p>
        </w:tc>
      </w:tr>
      <w:tr w:rsidR="00300D19" w:rsidRPr="00E25C13" w:rsidTr="00E110C1">
        <w:trPr>
          <w:trHeight w:val="223"/>
        </w:trPr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527D0B" w:rsidRPr="00E25C13" w:rsidRDefault="00F61863" w:rsidP="00E110C1">
            <w:pPr>
              <w:spacing w:beforeLines="40" w:before="96" w:afterLines="20" w:after="4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More than one infection site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527D0B" w:rsidRPr="00E25C13" w:rsidRDefault="00FB62BB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527D0B" w:rsidRPr="00E25C13" w:rsidRDefault="00F61863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527D0B" w:rsidRPr="00E25C13" w:rsidRDefault="00F61863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27D0B" w:rsidRPr="00E25C13" w:rsidRDefault="00F61863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C13">
              <w:rPr>
                <w:rFonts w:ascii="Arial" w:hAnsi="Arial" w:cs="Arial"/>
                <w:sz w:val="18"/>
                <w:szCs w:val="18"/>
                <w:lang w:val="en-GB"/>
              </w:rPr>
              <w:t>24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27D0B" w:rsidRPr="00E25C13" w:rsidRDefault="00527D0B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27D0B" w:rsidRPr="00E25C13" w:rsidRDefault="00527D0B" w:rsidP="00E110C1">
            <w:pPr>
              <w:spacing w:beforeLines="40" w:before="96" w:afterLines="20" w:after="4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6B7C0E" w:rsidRPr="00E25C13" w:rsidRDefault="006B7C0E" w:rsidP="006B7C0E">
      <w:pPr>
        <w:ind w:left="643"/>
        <w:contextualSpacing/>
        <w:rPr>
          <w:rFonts w:ascii="Arial" w:hAnsi="Arial" w:cs="Arial"/>
          <w:sz w:val="18"/>
          <w:szCs w:val="18"/>
          <w:lang w:val="en-US"/>
        </w:rPr>
      </w:pPr>
    </w:p>
    <w:p w:rsidR="006B7C0E" w:rsidRPr="00E25C13" w:rsidRDefault="006B7C0E" w:rsidP="006B7C0E">
      <w:pPr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  <w:lang w:val="en-US"/>
        </w:rPr>
      </w:pPr>
      <w:r w:rsidRPr="00E25C13">
        <w:rPr>
          <w:rFonts w:ascii="Arial" w:hAnsi="Arial" w:cs="Arial"/>
          <w:sz w:val="18"/>
          <w:szCs w:val="18"/>
          <w:lang w:val="en-US"/>
        </w:rPr>
        <w:t xml:space="preserve">Risk factor identified by the </w:t>
      </w:r>
      <w:r w:rsidR="00E90729" w:rsidRPr="00E25C13">
        <w:rPr>
          <w:rFonts w:ascii="Arial" w:hAnsi="Arial" w:cs="Arial"/>
          <w:sz w:val="18"/>
          <w:szCs w:val="18"/>
          <w:lang w:val="en-US"/>
        </w:rPr>
        <w:t>original</w:t>
      </w:r>
      <w:r w:rsidRPr="00E25C13">
        <w:rPr>
          <w:rFonts w:ascii="Arial" w:hAnsi="Arial" w:cs="Arial"/>
          <w:sz w:val="18"/>
          <w:szCs w:val="18"/>
          <w:lang w:val="en-US"/>
        </w:rPr>
        <w:t xml:space="preserve"> authors</w:t>
      </w:r>
    </w:p>
    <w:p w:rsidR="006B7C0E" w:rsidRPr="00E25C13" w:rsidRDefault="006B7C0E" w:rsidP="006B7C0E">
      <w:pPr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  <w:lang w:val="en-US"/>
        </w:rPr>
      </w:pPr>
      <w:r w:rsidRPr="00E25C13">
        <w:rPr>
          <w:rFonts w:ascii="Arial" w:hAnsi="Arial" w:cs="Arial"/>
          <w:sz w:val="18"/>
          <w:szCs w:val="18"/>
          <w:lang w:val="en-US"/>
        </w:rPr>
        <w:t xml:space="preserve">Same risk factor could be associated or not associated </w:t>
      </w:r>
      <w:r w:rsidR="00B544DE" w:rsidRPr="00E25C13">
        <w:rPr>
          <w:rFonts w:ascii="Arial" w:hAnsi="Arial" w:cs="Arial"/>
          <w:sz w:val="18"/>
          <w:szCs w:val="18"/>
          <w:lang w:val="en-US"/>
        </w:rPr>
        <w:t xml:space="preserve">with different antimicrobials </w:t>
      </w:r>
      <w:r w:rsidRPr="00E25C13">
        <w:rPr>
          <w:rFonts w:ascii="Arial" w:hAnsi="Arial" w:cs="Arial"/>
          <w:sz w:val="18"/>
          <w:szCs w:val="18"/>
          <w:lang w:val="en-US"/>
        </w:rPr>
        <w:t>in the same article. Therefore, the total number of articles that mention the risk factor is not the exact summation of number of articles that report association and no association</w:t>
      </w:r>
    </w:p>
    <w:p w:rsidR="0029075F" w:rsidRPr="00E25C13" w:rsidRDefault="0029075F" w:rsidP="006B7C0E">
      <w:pPr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  <w:lang w:val="en-US"/>
        </w:rPr>
      </w:pPr>
      <w:r w:rsidRPr="00E25C13">
        <w:rPr>
          <w:rFonts w:ascii="Arial" w:hAnsi="Arial" w:cs="Arial"/>
          <w:sz w:val="18"/>
          <w:szCs w:val="18"/>
          <w:lang w:val="en-US"/>
        </w:rPr>
        <w:t xml:space="preserve">The numbers in </w:t>
      </w:r>
      <w:r w:rsidR="00B544DE" w:rsidRPr="00E25C13">
        <w:rPr>
          <w:rFonts w:ascii="Arial" w:hAnsi="Arial" w:cs="Arial"/>
          <w:sz w:val="18"/>
          <w:szCs w:val="18"/>
          <w:lang w:val="en-US"/>
        </w:rPr>
        <w:t xml:space="preserve">square </w:t>
      </w:r>
      <w:r w:rsidRPr="00E25C13">
        <w:rPr>
          <w:rFonts w:ascii="Arial" w:hAnsi="Arial" w:cs="Arial"/>
          <w:sz w:val="18"/>
          <w:szCs w:val="18"/>
          <w:lang w:val="en-US"/>
        </w:rPr>
        <w:t>bracket</w:t>
      </w:r>
      <w:r w:rsidR="00B544DE" w:rsidRPr="00E25C13">
        <w:rPr>
          <w:rFonts w:ascii="Arial" w:hAnsi="Arial" w:cs="Arial"/>
          <w:sz w:val="18"/>
          <w:szCs w:val="18"/>
          <w:lang w:val="en-US"/>
        </w:rPr>
        <w:t>s correspond</w:t>
      </w:r>
      <w:r w:rsidRPr="00E25C13">
        <w:rPr>
          <w:rFonts w:ascii="Arial" w:hAnsi="Arial" w:cs="Arial"/>
          <w:sz w:val="18"/>
          <w:szCs w:val="18"/>
          <w:lang w:val="en-US"/>
        </w:rPr>
        <w:t xml:space="preserve"> to the </w:t>
      </w:r>
      <w:r w:rsidR="00B544DE" w:rsidRPr="00E25C13">
        <w:rPr>
          <w:rFonts w:ascii="Arial" w:hAnsi="Arial" w:cs="Arial"/>
          <w:sz w:val="18"/>
          <w:szCs w:val="18"/>
          <w:lang w:val="en-US"/>
        </w:rPr>
        <w:t xml:space="preserve">numbered </w:t>
      </w:r>
      <w:r w:rsidRPr="00E25C13">
        <w:rPr>
          <w:rFonts w:ascii="Arial" w:hAnsi="Arial" w:cs="Arial"/>
          <w:sz w:val="18"/>
          <w:szCs w:val="18"/>
          <w:lang w:val="en-US"/>
        </w:rPr>
        <w:t xml:space="preserve">references in the </w:t>
      </w:r>
      <w:r w:rsidR="00B544DE" w:rsidRPr="00E25C13">
        <w:rPr>
          <w:rFonts w:ascii="Arial" w:hAnsi="Arial" w:cs="Arial"/>
          <w:sz w:val="18"/>
          <w:szCs w:val="18"/>
          <w:lang w:val="en-US"/>
        </w:rPr>
        <w:t>main text</w:t>
      </w:r>
    </w:p>
    <w:p w:rsidR="006B7C0E" w:rsidRPr="00E25C13" w:rsidRDefault="00BC59AC" w:rsidP="006B7C0E">
      <w:pPr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  <w:lang w:val="en-US"/>
        </w:rPr>
      </w:pPr>
      <w:r w:rsidRPr="00E25C13">
        <w:rPr>
          <w:rFonts w:ascii="Arial" w:hAnsi="Arial" w:cs="Arial"/>
          <w:sz w:val="18"/>
          <w:szCs w:val="18"/>
          <w:lang w:val="en-US"/>
        </w:rPr>
        <w:t>Antimicrobial class in upper case, s</w:t>
      </w:r>
      <w:r w:rsidR="00667517" w:rsidRPr="00E25C13">
        <w:rPr>
          <w:rFonts w:ascii="Arial" w:hAnsi="Arial" w:cs="Arial"/>
          <w:sz w:val="18"/>
          <w:szCs w:val="18"/>
          <w:lang w:val="en-US"/>
        </w:rPr>
        <w:t xml:space="preserve">pecific </w:t>
      </w:r>
      <w:r w:rsidR="006B7C0E" w:rsidRPr="00E25C13">
        <w:rPr>
          <w:rFonts w:ascii="Arial" w:hAnsi="Arial" w:cs="Arial"/>
          <w:sz w:val="18"/>
          <w:szCs w:val="18"/>
          <w:lang w:val="en-US"/>
        </w:rPr>
        <w:t>anti</w:t>
      </w:r>
      <w:r w:rsidR="00B544DE" w:rsidRPr="00E25C13">
        <w:rPr>
          <w:rFonts w:ascii="Arial" w:hAnsi="Arial" w:cs="Arial"/>
          <w:sz w:val="18"/>
          <w:szCs w:val="18"/>
          <w:lang w:val="en-US"/>
        </w:rPr>
        <w:t>microbial</w:t>
      </w:r>
      <w:r w:rsidR="00667517" w:rsidRPr="00E25C13">
        <w:rPr>
          <w:rFonts w:ascii="Arial" w:hAnsi="Arial" w:cs="Arial"/>
          <w:sz w:val="18"/>
          <w:szCs w:val="18"/>
          <w:lang w:val="en-US"/>
        </w:rPr>
        <w:t>s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</w:t>
      </w:r>
      <w:r w:rsidR="00667517" w:rsidRPr="00E25C13">
        <w:rPr>
          <w:rFonts w:ascii="Arial" w:hAnsi="Arial" w:cs="Arial"/>
          <w:sz w:val="18"/>
          <w:szCs w:val="18"/>
          <w:lang w:val="en-US"/>
        </w:rPr>
        <w:t xml:space="preserve">examined within </w:t>
      </w:r>
      <w:r w:rsidR="006B7C0E" w:rsidRPr="00E25C13">
        <w:rPr>
          <w:rFonts w:ascii="Arial" w:hAnsi="Arial" w:cs="Arial"/>
          <w:sz w:val="18"/>
          <w:szCs w:val="18"/>
          <w:lang w:val="en-US"/>
        </w:rPr>
        <w:t>in each</w:t>
      </w:r>
      <w:r w:rsidRPr="00E25C13">
        <w:rPr>
          <w:rFonts w:ascii="Arial" w:hAnsi="Arial" w:cs="Arial"/>
          <w:sz w:val="18"/>
          <w:szCs w:val="18"/>
          <w:lang w:val="en-US"/>
        </w:rPr>
        <w:t xml:space="preserve"> class in lower case</w:t>
      </w:r>
      <w:r w:rsidR="00667517" w:rsidRPr="00E25C13">
        <w:rPr>
          <w:rFonts w:ascii="Arial" w:hAnsi="Arial" w:cs="Arial"/>
          <w:sz w:val="18"/>
          <w:szCs w:val="18"/>
          <w:lang w:val="en-US"/>
        </w:rPr>
        <w:t>: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</w:t>
      </w:r>
      <w:r w:rsidR="00667517" w:rsidRPr="00E25C13">
        <w:rPr>
          <w:rFonts w:ascii="Arial" w:hAnsi="Arial" w:cs="Arial"/>
          <w:sz w:val="18"/>
          <w:szCs w:val="18"/>
          <w:lang w:val="en-US"/>
        </w:rPr>
        <w:t>TETRACYCLINES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(tetracycline)</w:t>
      </w:r>
      <w:r w:rsidR="00667517" w:rsidRPr="00E25C13">
        <w:rPr>
          <w:rFonts w:ascii="Arial" w:hAnsi="Arial" w:cs="Arial"/>
          <w:sz w:val="18"/>
          <w:szCs w:val="18"/>
          <w:lang w:val="en-US"/>
        </w:rPr>
        <w:t>;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</w:t>
      </w:r>
      <w:r w:rsidR="00667517" w:rsidRPr="00E25C13">
        <w:rPr>
          <w:rFonts w:ascii="Arial" w:hAnsi="Arial" w:cs="Arial"/>
          <w:sz w:val="18"/>
          <w:szCs w:val="18"/>
          <w:lang w:val="en-US"/>
        </w:rPr>
        <w:t>PENICILLINS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(penicillin)</w:t>
      </w:r>
      <w:r w:rsidR="00667517" w:rsidRPr="00E25C13">
        <w:rPr>
          <w:rFonts w:ascii="Arial" w:hAnsi="Arial" w:cs="Arial"/>
          <w:sz w:val="18"/>
          <w:szCs w:val="18"/>
          <w:lang w:val="en-US"/>
        </w:rPr>
        <w:t>;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</w:t>
      </w:r>
      <w:r w:rsidR="00667517" w:rsidRPr="00E25C13">
        <w:rPr>
          <w:rFonts w:ascii="Arial" w:hAnsi="Arial" w:cs="Arial"/>
          <w:sz w:val="18"/>
          <w:szCs w:val="18"/>
          <w:lang w:val="en-US"/>
        </w:rPr>
        <w:t xml:space="preserve">FLUOROQUINOLONES </w:t>
      </w:r>
      <w:r w:rsidR="006B7C0E" w:rsidRPr="00E25C13">
        <w:rPr>
          <w:rFonts w:ascii="Arial" w:hAnsi="Arial" w:cs="Arial"/>
          <w:sz w:val="18"/>
          <w:szCs w:val="18"/>
          <w:lang w:val="en-US"/>
        </w:rPr>
        <w:t>(ciprofloxacin)</w:t>
      </w:r>
      <w:r w:rsidR="00667517" w:rsidRPr="00E25C13">
        <w:rPr>
          <w:rFonts w:ascii="Arial" w:hAnsi="Arial" w:cs="Arial"/>
          <w:sz w:val="18"/>
          <w:szCs w:val="18"/>
          <w:lang w:val="en-US"/>
        </w:rPr>
        <w:t>;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</w:t>
      </w:r>
      <w:r w:rsidR="00667517" w:rsidRPr="00E25C13">
        <w:rPr>
          <w:rFonts w:ascii="Arial" w:hAnsi="Arial" w:cs="Arial"/>
          <w:sz w:val="18"/>
          <w:szCs w:val="18"/>
          <w:lang w:val="en-US"/>
        </w:rPr>
        <w:t xml:space="preserve">CEPHALOSPORINS </w:t>
      </w:r>
      <w:r w:rsidR="006B7C0E" w:rsidRPr="00E25C13">
        <w:rPr>
          <w:rFonts w:ascii="Arial" w:hAnsi="Arial" w:cs="Arial"/>
          <w:sz w:val="18"/>
          <w:szCs w:val="18"/>
          <w:lang w:val="en-US"/>
        </w:rPr>
        <w:t>(ceftriaxone</w:t>
      </w:r>
      <w:r w:rsidR="00667517" w:rsidRPr="00E25C13">
        <w:rPr>
          <w:rFonts w:ascii="Arial" w:hAnsi="Arial" w:cs="Arial"/>
          <w:sz w:val="18"/>
          <w:szCs w:val="18"/>
          <w:lang w:val="en-US"/>
        </w:rPr>
        <w:t>,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cefixime</w:t>
      </w:r>
      <w:r w:rsidR="00667517" w:rsidRPr="00E25C13">
        <w:rPr>
          <w:rFonts w:ascii="Arial" w:hAnsi="Arial" w:cs="Arial"/>
          <w:sz w:val="18"/>
          <w:szCs w:val="18"/>
          <w:lang w:val="en-US"/>
        </w:rPr>
        <w:t>,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cef</w:t>
      </w:r>
      <w:r w:rsidR="00F45FB0" w:rsidRPr="00E25C13">
        <w:rPr>
          <w:rFonts w:ascii="Arial" w:hAnsi="Arial" w:cs="Arial"/>
          <w:sz w:val="18"/>
          <w:szCs w:val="18"/>
          <w:lang w:val="en-US"/>
        </w:rPr>
        <w:t>o</w:t>
      </w:r>
      <w:r w:rsidR="006B7C0E" w:rsidRPr="00E25C13">
        <w:rPr>
          <w:rFonts w:ascii="Arial" w:hAnsi="Arial" w:cs="Arial"/>
          <w:sz w:val="18"/>
          <w:szCs w:val="18"/>
          <w:lang w:val="en-US"/>
        </w:rPr>
        <w:t>t</w:t>
      </w:r>
      <w:r w:rsidR="00F45FB0" w:rsidRPr="00E25C13">
        <w:rPr>
          <w:rFonts w:ascii="Arial" w:hAnsi="Arial" w:cs="Arial"/>
          <w:sz w:val="18"/>
          <w:szCs w:val="18"/>
          <w:lang w:val="en-US"/>
        </w:rPr>
        <w:t>a</w:t>
      </w:r>
      <w:r w:rsidR="006B7C0E" w:rsidRPr="00E25C13">
        <w:rPr>
          <w:rFonts w:ascii="Arial" w:hAnsi="Arial" w:cs="Arial"/>
          <w:sz w:val="18"/>
          <w:szCs w:val="18"/>
          <w:lang w:val="en-US"/>
        </w:rPr>
        <w:t>xime)</w:t>
      </w:r>
      <w:r w:rsidR="00667517" w:rsidRPr="00E25C13">
        <w:rPr>
          <w:rFonts w:ascii="Arial" w:hAnsi="Arial" w:cs="Arial"/>
          <w:sz w:val="18"/>
          <w:szCs w:val="18"/>
          <w:lang w:val="en-US"/>
        </w:rPr>
        <w:t>;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</w:t>
      </w:r>
      <w:r w:rsidR="00667517" w:rsidRPr="00E25C13">
        <w:rPr>
          <w:rFonts w:ascii="Arial" w:hAnsi="Arial" w:cs="Arial"/>
          <w:sz w:val="18"/>
          <w:szCs w:val="18"/>
          <w:lang w:val="en-US"/>
        </w:rPr>
        <w:t>MACROLIDES</w:t>
      </w:r>
      <w:r w:rsidR="006B7C0E" w:rsidRPr="00E25C13">
        <w:rPr>
          <w:rFonts w:ascii="Arial" w:hAnsi="Arial" w:cs="Arial"/>
          <w:sz w:val="18"/>
          <w:szCs w:val="18"/>
          <w:lang w:val="en-US"/>
        </w:rPr>
        <w:t xml:space="preserve"> (azithromycin)</w:t>
      </w:r>
    </w:p>
    <w:p w:rsidR="006B7C0E" w:rsidRPr="00E25C13" w:rsidRDefault="006B7C0E" w:rsidP="006B7C0E">
      <w:pPr>
        <w:ind w:left="643"/>
        <w:contextualSpacing/>
        <w:rPr>
          <w:rFonts w:ascii="Arial" w:hAnsi="Arial" w:cs="Arial"/>
          <w:sz w:val="18"/>
          <w:szCs w:val="18"/>
          <w:lang w:val="en-US"/>
        </w:rPr>
      </w:pPr>
    </w:p>
    <w:p w:rsidR="00F303B8" w:rsidRPr="00E25C13" w:rsidRDefault="006B7C0E" w:rsidP="00D6093A">
      <w:pPr>
        <w:ind w:left="45"/>
        <w:rPr>
          <w:rFonts w:ascii="Arial" w:hAnsi="Arial" w:cs="Arial"/>
          <w:sz w:val="18"/>
          <w:szCs w:val="18"/>
          <w:lang w:val="en-US"/>
        </w:rPr>
      </w:pPr>
      <w:r w:rsidRPr="00E25C13">
        <w:rPr>
          <w:rFonts w:ascii="Arial" w:hAnsi="Arial" w:cs="Arial"/>
          <w:b/>
          <w:sz w:val="18"/>
          <w:szCs w:val="18"/>
          <w:lang w:val="en-US"/>
        </w:rPr>
        <w:t xml:space="preserve">Abbreviations: </w:t>
      </w:r>
      <w:r w:rsidRPr="00E25C13">
        <w:rPr>
          <w:rFonts w:ascii="Arial" w:hAnsi="Arial" w:cs="Arial"/>
          <w:sz w:val="18"/>
          <w:szCs w:val="18"/>
          <w:lang w:val="en-US"/>
        </w:rPr>
        <w:t xml:space="preserve">AMR-NG, Antimicrobial resistant </w:t>
      </w:r>
      <w:r w:rsidRPr="00E25C13">
        <w:rPr>
          <w:rFonts w:ascii="Arial" w:hAnsi="Arial" w:cs="Arial"/>
          <w:i/>
          <w:sz w:val="18"/>
          <w:szCs w:val="18"/>
          <w:lang w:val="en-US"/>
        </w:rPr>
        <w:t>Neisseria gonorrhoeae</w:t>
      </w:r>
      <w:r w:rsidRPr="00E25C13">
        <w:rPr>
          <w:rFonts w:ascii="Arial" w:hAnsi="Arial" w:cs="Arial"/>
          <w:sz w:val="18"/>
          <w:szCs w:val="18"/>
          <w:lang w:val="en-US"/>
        </w:rPr>
        <w:t>; STI, Sexually transmitted infection; MSM, Men who have sex with men</w:t>
      </w:r>
    </w:p>
    <w:sectPr w:rsidR="00F303B8" w:rsidRPr="00E25C13" w:rsidSect="00A54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5D" w:rsidRDefault="00B9665D" w:rsidP="0063179D">
      <w:pPr>
        <w:spacing w:after="0" w:line="240" w:lineRule="auto"/>
      </w:pPr>
      <w:r>
        <w:separator/>
      </w:r>
    </w:p>
  </w:endnote>
  <w:endnote w:type="continuationSeparator" w:id="0">
    <w:p w:rsidR="00B9665D" w:rsidRDefault="00B9665D" w:rsidP="0063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9D" w:rsidRDefault="006317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08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79D" w:rsidRDefault="006317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79D" w:rsidRDefault="006317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9D" w:rsidRDefault="00631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5D" w:rsidRDefault="00B9665D" w:rsidP="0063179D">
      <w:pPr>
        <w:spacing w:after="0" w:line="240" w:lineRule="auto"/>
      </w:pPr>
      <w:r>
        <w:separator/>
      </w:r>
    </w:p>
  </w:footnote>
  <w:footnote w:type="continuationSeparator" w:id="0">
    <w:p w:rsidR="00B9665D" w:rsidRDefault="00B9665D" w:rsidP="0063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9D" w:rsidRDefault="006317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9D" w:rsidRDefault="006317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9D" w:rsidRDefault="00631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7143F"/>
    <w:multiLevelType w:val="hybridMultilevel"/>
    <w:tmpl w:val="DD221080"/>
    <w:lvl w:ilvl="0" w:tplc="C7B64E10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3" w:hanging="360"/>
      </w:pPr>
    </w:lvl>
    <w:lvl w:ilvl="2" w:tplc="0807001B" w:tentative="1">
      <w:start w:val="1"/>
      <w:numFmt w:val="lowerRoman"/>
      <w:lvlText w:val="%3."/>
      <w:lvlJc w:val="right"/>
      <w:pPr>
        <w:ind w:left="2083" w:hanging="180"/>
      </w:pPr>
    </w:lvl>
    <w:lvl w:ilvl="3" w:tplc="0807000F" w:tentative="1">
      <w:start w:val="1"/>
      <w:numFmt w:val="decimal"/>
      <w:lvlText w:val="%4."/>
      <w:lvlJc w:val="left"/>
      <w:pPr>
        <w:ind w:left="2803" w:hanging="360"/>
      </w:pPr>
    </w:lvl>
    <w:lvl w:ilvl="4" w:tplc="08070019" w:tentative="1">
      <w:start w:val="1"/>
      <w:numFmt w:val="lowerLetter"/>
      <w:lvlText w:val="%5."/>
      <w:lvlJc w:val="left"/>
      <w:pPr>
        <w:ind w:left="3523" w:hanging="360"/>
      </w:pPr>
    </w:lvl>
    <w:lvl w:ilvl="5" w:tplc="0807001B" w:tentative="1">
      <w:start w:val="1"/>
      <w:numFmt w:val="lowerRoman"/>
      <w:lvlText w:val="%6."/>
      <w:lvlJc w:val="right"/>
      <w:pPr>
        <w:ind w:left="4243" w:hanging="180"/>
      </w:pPr>
    </w:lvl>
    <w:lvl w:ilvl="6" w:tplc="0807000F" w:tentative="1">
      <w:start w:val="1"/>
      <w:numFmt w:val="decimal"/>
      <w:lvlText w:val="%7."/>
      <w:lvlJc w:val="left"/>
      <w:pPr>
        <w:ind w:left="4963" w:hanging="360"/>
      </w:pPr>
    </w:lvl>
    <w:lvl w:ilvl="7" w:tplc="08070019" w:tentative="1">
      <w:start w:val="1"/>
      <w:numFmt w:val="lowerLetter"/>
      <w:lvlText w:val="%8."/>
      <w:lvlJc w:val="left"/>
      <w:pPr>
        <w:ind w:left="5683" w:hanging="360"/>
      </w:pPr>
    </w:lvl>
    <w:lvl w:ilvl="8" w:tplc="0807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8"/>
    <w:rsid w:val="00141E22"/>
    <w:rsid w:val="001552EE"/>
    <w:rsid w:val="00161C6D"/>
    <w:rsid w:val="00186E27"/>
    <w:rsid w:val="001C0D3D"/>
    <w:rsid w:val="001D255C"/>
    <w:rsid w:val="001F137E"/>
    <w:rsid w:val="001F7D5A"/>
    <w:rsid w:val="0023598B"/>
    <w:rsid w:val="0029075F"/>
    <w:rsid w:val="002B1BB4"/>
    <w:rsid w:val="002D3B77"/>
    <w:rsid w:val="00300D19"/>
    <w:rsid w:val="0030324F"/>
    <w:rsid w:val="0033150E"/>
    <w:rsid w:val="00350F04"/>
    <w:rsid w:val="00373FC8"/>
    <w:rsid w:val="003A7844"/>
    <w:rsid w:val="003D0B0B"/>
    <w:rsid w:val="0042628E"/>
    <w:rsid w:val="0045679E"/>
    <w:rsid w:val="004735B2"/>
    <w:rsid w:val="004C019F"/>
    <w:rsid w:val="00527D0B"/>
    <w:rsid w:val="00552099"/>
    <w:rsid w:val="005A5258"/>
    <w:rsid w:val="00612958"/>
    <w:rsid w:val="0063179D"/>
    <w:rsid w:val="006319B6"/>
    <w:rsid w:val="00644DC8"/>
    <w:rsid w:val="00644EED"/>
    <w:rsid w:val="00654858"/>
    <w:rsid w:val="00667517"/>
    <w:rsid w:val="00675BF2"/>
    <w:rsid w:val="00675C95"/>
    <w:rsid w:val="006A6482"/>
    <w:rsid w:val="006B0E0C"/>
    <w:rsid w:val="006B7C0E"/>
    <w:rsid w:val="006E5DB1"/>
    <w:rsid w:val="007241DC"/>
    <w:rsid w:val="00746468"/>
    <w:rsid w:val="007659FD"/>
    <w:rsid w:val="00822E89"/>
    <w:rsid w:val="008B5C3C"/>
    <w:rsid w:val="008C0602"/>
    <w:rsid w:val="008D7DCE"/>
    <w:rsid w:val="00947BDF"/>
    <w:rsid w:val="009A301C"/>
    <w:rsid w:val="009C16A9"/>
    <w:rsid w:val="009E68D5"/>
    <w:rsid w:val="009F19FB"/>
    <w:rsid w:val="009F519A"/>
    <w:rsid w:val="00A5418A"/>
    <w:rsid w:val="00B2022F"/>
    <w:rsid w:val="00B2771C"/>
    <w:rsid w:val="00B544DE"/>
    <w:rsid w:val="00B67738"/>
    <w:rsid w:val="00B9665D"/>
    <w:rsid w:val="00BB7EEA"/>
    <w:rsid w:val="00BC59AC"/>
    <w:rsid w:val="00BD14EE"/>
    <w:rsid w:val="00BF1AAB"/>
    <w:rsid w:val="00CA26FD"/>
    <w:rsid w:val="00CD25CC"/>
    <w:rsid w:val="00D6093A"/>
    <w:rsid w:val="00DD710F"/>
    <w:rsid w:val="00E110C1"/>
    <w:rsid w:val="00E25C13"/>
    <w:rsid w:val="00E54008"/>
    <w:rsid w:val="00E90729"/>
    <w:rsid w:val="00EC543D"/>
    <w:rsid w:val="00EE77E3"/>
    <w:rsid w:val="00F137B0"/>
    <w:rsid w:val="00F303B8"/>
    <w:rsid w:val="00F45FB0"/>
    <w:rsid w:val="00F61863"/>
    <w:rsid w:val="00F75696"/>
    <w:rsid w:val="00FB62BB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DC1B-B0EF-4922-A043-4EF16C53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9D"/>
  </w:style>
  <w:style w:type="paragraph" w:styleId="Footer">
    <w:name w:val="footer"/>
    <w:basedOn w:val="Normal"/>
    <w:link w:val="FooterChar"/>
    <w:uiPriority w:val="99"/>
    <w:unhideWhenUsed/>
    <w:rsid w:val="0063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E328-24DB-4571-BD65-B40396BD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Abraha, Million (ISPM)</dc:creator>
  <cp:keywords/>
  <dc:description/>
  <cp:lastModifiedBy>Natasha  Patel</cp:lastModifiedBy>
  <cp:revision>2</cp:revision>
  <cp:lastPrinted>2017-12-21T13:50:00Z</cp:lastPrinted>
  <dcterms:created xsi:type="dcterms:W3CDTF">2018-01-08T17:03:00Z</dcterms:created>
  <dcterms:modified xsi:type="dcterms:W3CDTF">2018-01-08T17:03:00Z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303383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