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C2" w:rsidRDefault="000337C2" w:rsidP="000337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Sw</w:t>
      </w:r>
      <w:r w:rsidRPr="00F92679">
        <w:rPr>
          <w:b/>
          <w:sz w:val="24"/>
          <w:szCs w:val="24"/>
        </w:rPr>
        <w:t xml:space="preserve">itching from </w:t>
      </w:r>
      <w:r>
        <w:rPr>
          <w:b/>
          <w:sz w:val="24"/>
          <w:szCs w:val="24"/>
        </w:rPr>
        <w:t>biosimilar (</w:t>
      </w:r>
      <w:r w:rsidRPr="00F9267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asa</w:t>
      </w:r>
      <w:r w:rsidRPr="00F92679">
        <w:rPr>
          <w:b/>
          <w:sz w:val="24"/>
          <w:szCs w:val="24"/>
        </w:rPr>
        <w:t>lin</w:t>
      </w:r>
      <w:r>
        <w:rPr>
          <w:b/>
          <w:sz w:val="24"/>
          <w:szCs w:val="24"/>
        </w:rPr>
        <w:t>)</w:t>
      </w:r>
      <w:r w:rsidRPr="00F92679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originator (</w:t>
      </w:r>
      <w:r w:rsidRPr="00F92679">
        <w:rPr>
          <w:b/>
          <w:sz w:val="24"/>
          <w:szCs w:val="24"/>
        </w:rPr>
        <w:t>Lantus</w:t>
      </w:r>
      <w:r>
        <w:rPr>
          <w:b/>
          <w:sz w:val="24"/>
          <w:szCs w:val="24"/>
        </w:rPr>
        <w:t>)</w:t>
      </w:r>
      <w:r w:rsidRPr="00F92679">
        <w:rPr>
          <w:b/>
          <w:sz w:val="24"/>
          <w:szCs w:val="24"/>
        </w:rPr>
        <w:t xml:space="preserve"> insulin glargine </w:t>
      </w:r>
      <w:r>
        <w:rPr>
          <w:b/>
          <w:sz w:val="24"/>
          <w:szCs w:val="24"/>
        </w:rPr>
        <w:t xml:space="preserve">is effective </w:t>
      </w:r>
      <w:r w:rsidRPr="00F92679">
        <w:rPr>
          <w:b/>
          <w:sz w:val="24"/>
          <w:szCs w:val="24"/>
        </w:rPr>
        <w:t xml:space="preserve">in Chinese </w:t>
      </w:r>
      <w:r>
        <w:rPr>
          <w:b/>
          <w:sz w:val="24"/>
          <w:szCs w:val="24"/>
        </w:rPr>
        <w:t>patients</w:t>
      </w:r>
      <w:r w:rsidRPr="00F92679">
        <w:rPr>
          <w:b/>
          <w:sz w:val="24"/>
          <w:szCs w:val="24"/>
        </w:rPr>
        <w:t xml:space="preserve"> with diabetes mellitus</w:t>
      </w:r>
      <w:r>
        <w:rPr>
          <w:b/>
          <w:sz w:val="24"/>
          <w:szCs w:val="24"/>
        </w:rPr>
        <w:t>: a retrospective study</w:t>
      </w:r>
    </w:p>
    <w:p w:rsidR="000337C2" w:rsidRDefault="000337C2" w:rsidP="000337C2">
      <w:pPr>
        <w:spacing w:line="360" w:lineRule="auto"/>
        <w:rPr>
          <w:b/>
          <w:sz w:val="24"/>
          <w:szCs w:val="24"/>
        </w:rPr>
      </w:pPr>
    </w:p>
    <w:p w:rsidR="000337C2" w:rsidRPr="000337C2" w:rsidRDefault="000337C2" w:rsidP="000B65B4">
      <w:pPr>
        <w:spacing w:line="480" w:lineRule="auto"/>
        <w:rPr>
          <w:b/>
          <w:sz w:val="24"/>
        </w:rPr>
      </w:pPr>
      <w:r w:rsidRPr="000337C2">
        <w:rPr>
          <w:b/>
          <w:sz w:val="24"/>
        </w:rPr>
        <w:t>Supplementary materials</w:t>
      </w:r>
    </w:p>
    <w:p w:rsidR="00DF1A06" w:rsidRPr="00DF1A06" w:rsidRDefault="00DF1A06" w:rsidP="000B65B4">
      <w:pPr>
        <w:spacing w:line="480" w:lineRule="auto"/>
        <w:rPr>
          <w:sz w:val="24"/>
        </w:rPr>
      </w:pPr>
      <w:r w:rsidRPr="00DF1A06">
        <w:rPr>
          <w:sz w:val="24"/>
        </w:rPr>
        <w:t xml:space="preserve">Supplementary Table 1. </w:t>
      </w:r>
      <w:r>
        <w:rPr>
          <w:sz w:val="24"/>
          <w:szCs w:val="24"/>
        </w:rPr>
        <w:t>Summary of insulin doses during initial treatment with Basalin insulin glargine and after switching to Lantus for patients who received basal-bolus therapy</w:t>
      </w:r>
      <w:r w:rsidR="00110AB3">
        <w:rPr>
          <w:sz w:val="24"/>
          <w:szCs w:val="24"/>
        </w:rPr>
        <w:t xml:space="preserve"> only without OADs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940"/>
        <w:gridCol w:w="1842"/>
        <w:gridCol w:w="851"/>
        <w:gridCol w:w="1700"/>
        <w:gridCol w:w="1702"/>
        <w:gridCol w:w="2153"/>
      </w:tblGrid>
      <w:tr w:rsidR="000B65B4" w:rsidRPr="00DF1A06" w:rsidTr="000B65B4">
        <w:trPr>
          <w:trHeight w:val="315"/>
        </w:trPr>
        <w:tc>
          <w:tcPr>
            <w:tcW w:w="113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Insulin dose, IU</w:t>
            </w:r>
            <w:r w:rsidR="00F11E09">
              <w:rPr>
                <w:rFonts w:asciiTheme="minorHAnsi" w:hAnsiTheme="minorHAnsi"/>
                <w:color w:val="000000"/>
                <w:sz w:val="24"/>
                <w:szCs w:val="20"/>
              </w:rPr>
              <w:t>/kg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/day   </w:t>
            </w:r>
          </w:p>
        </w:tc>
        <w:tc>
          <w:tcPr>
            <w:tcW w:w="143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Basalin insulin glargine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pacing w:val="75"/>
                <w:sz w:val="24"/>
                <w:szCs w:val="20"/>
              </w:rPr>
              <w:t>Insulin switch</w:t>
            </w:r>
          </w:p>
        </w:tc>
        <w:tc>
          <w:tcPr>
            <w:tcW w:w="129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Lantus insulin glargine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P-value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a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 xml:space="preserve"> (Basalin final dose vs. originator final dose)</w:t>
            </w:r>
          </w:p>
        </w:tc>
      </w:tr>
      <w:tr w:rsidR="000B65B4" w:rsidRPr="00DF1A06" w:rsidTr="000B65B4">
        <w:trPr>
          <w:trHeight w:val="315"/>
        </w:trPr>
        <w:tc>
          <w:tcPr>
            <w:tcW w:w="1134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35" w:type="pct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(mean duration 11.4 [6.93] days)</w:t>
            </w:r>
          </w:p>
        </w:tc>
        <w:tc>
          <w:tcPr>
            <w:tcW w:w="3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291" w:type="pct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(mean duration 6.4 [7.38] days)</w:t>
            </w:r>
          </w:p>
        </w:tc>
        <w:tc>
          <w:tcPr>
            <w:tcW w:w="81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</w:tr>
      <w:tr w:rsidR="000B65B4" w:rsidRPr="00DF1A06" w:rsidTr="0087077F">
        <w:trPr>
          <w:trHeight w:val="315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Initial dose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Final dose</w:t>
            </w:r>
          </w:p>
        </w:tc>
        <w:tc>
          <w:tcPr>
            <w:tcW w:w="3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Initial dose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Final dose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 </w:t>
            </w:r>
          </w:p>
        </w:tc>
      </w:tr>
      <w:tr w:rsidR="000B65B4" w:rsidRPr="00DF1A06" w:rsidTr="0087077F">
        <w:trPr>
          <w:trHeight w:val="315"/>
        </w:trPr>
        <w:tc>
          <w:tcPr>
            <w:tcW w:w="11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Insulin glargine</w:t>
            </w:r>
          </w:p>
        </w:tc>
        <w:tc>
          <w:tcPr>
            <w:tcW w:w="73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 (0.07)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0.24 (0.08)</w:t>
            </w:r>
          </w:p>
        </w:tc>
        <w:tc>
          <w:tcPr>
            <w:tcW w:w="3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0.25 (0.09)</w:t>
            </w:r>
          </w:p>
        </w:tc>
        <w:tc>
          <w:tcPr>
            <w:tcW w:w="646" w:type="pct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0.25 (0.09)</w:t>
            </w:r>
          </w:p>
        </w:tc>
        <w:tc>
          <w:tcPr>
            <w:tcW w:w="817" w:type="pct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0.1321</w:t>
            </w:r>
          </w:p>
        </w:tc>
      </w:tr>
      <w:tr w:rsidR="000B65B4" w:rsidRPr="00DF1A06" w:rsidTr="0087077F">
        <w:trPr>
          <w:trHeight w:val="360"/>
        </w:trPr>
        <w:tc>
          <w:tcPr>
            <w:tcW w:w="11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P-value, initial vs. final dose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736" w:type="pct"/>
            <w:vAlign w:val="center"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0.0001</w:t>
            </w:r>
          </w:p>
        </w:tc>
        <w:tc>
          <w:tcPr>
            <w:tcW w:w="3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eastAsia="Times New Roman" w:hAnsiTheme="minorHAnsi"/>
                <w:sz w:val="24"/>
                <w:szCs w:val="20"/>
              </w:rPr>
            </w:pPr>
          </w:p>
        </w:tc>
        <w:tc>
          <w:tcPr>
            <w:tcW w:w="6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0.6719</w:t>
            </w: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eastAsia="Times New Roman" w:hAnsiTheme="minorHAnsi"/>
                <w:sz w:val="24"/>
                <w:szCs w:val="20"/>
              </w:rPr>
            </w:pPr>
          </w:p>
        </w:tc>
      </w:tr>
      <w:tr w:rsidR="000B65B4" w:rsidRPr="00DF1A06" w:rsidTr="0087077F">
        <w:trPr>
          <w:trHeight w:val="360"/>
        </w:trPr>
        <w:tc>
          <w:tcPr>
            <w:tcW w:w="11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Prandial insulin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b</w:t>
            </w:r>
          </w:p>
        </w:tc>
        <w:tc>
          <w:tcPr>
            <w:tcW w:w="73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0.32 (0.08)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0.4 (0.15)</w:t>
            </w:r>
          </w:p>
        </w:tc>
        <w:tc>
          <w:tcPr>
            <w:tcW w:w="3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0.41 (0.15)</w:t>
            </w:r>
          </w:p>
        </w:tc>
        <w:tc>
          <w:tcPr>
            <w:tcW w:w="6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0.4 (0.16)</w:t>
            </w:r>
          </w:p>
        </w:tc>
        <w:tc>
          <w:tcPr>
            <w:tcW w:w="81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0.8429</w:t>
            </w:r>
          </w:p>
        </w:tc>
      </w:tr>
      <w:tr w:rsidR="000B65B4" w:rsidRPr="00DF1A06" w:rsidTr="0087077F">
        <w:trPr>
          <w:trHeight w:val="360"/>
        </w:trPr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P-value, initial vs. final dose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&lt;.0001</w:t>
            </w:r>
          </w:p>
        </w:tc>
        <w:tc>
          <w:tcPr>
            <w:tcW w:w="3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0.483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 </w:t>
            </w:r>
          </w:p>
        </w:tc>
      </w:tr>
    </w:tbl>
    <w:p w:rsidR="00DF1A06" w:rsidRPr="00DF1A06" w:rsidRDefault="00DF1A06" w:rsidP="000B65B4">
      <w:pPr>
        <w:spacing w:line="480" w:lineRule="auto"/>
        <w:rPr>
          <w:sz w:val="24"/>
        </w:rPr>
      </w:pPr>
      <w:r>
        <w:rPr>
          <w:color w:val="808000"/>
          <w:lang w:val="en-US"/>
        </w:rPr>
        <w:lastRenderedPageBreak/>
        <w:t> </w:t>
      </w:r>
      <w:r w:rsidRPr="00DF1A06">
        <w:rPr>
          <w:sz w:val="24"/>
        </w:rPr>
        <w:t xml:space="preserve">Supplementary Table </w:t>
      </w:r>
      <w:r>
        <w:rPr>
          <w:sz w:val="24"/>
        </w:rPr>
        <w:t>2</w:t>
      </w:r>
      <w:r w:rsidRPr="00DF1A06">
        <w:rPr>
          <w:sz w:val="24"/>
        </w:rPr>
        <w:t xml:space="preserve">. </w:t>
      </w:r>
      <w:r>
        <w:rPr>
          <w:sz w:val="24"/>
          <w:szCs w:val="24"/>
        </w:rPr>
        <w:t>Seven</w:t>
      </w:r>
      <w:r w:rsidR="00AF684B">
        <w:rPr>
          <w:sz w:val="24"/>
          <w:szCs w:val="24"/>
        </w:rPr>
        <w:t>-</w:t>
      </w:r>
      <w:r>
        <w:rPr>
          <w:sz w:val="24"/>
          <w:szCs w:val="24"/>
        </w:rPr>
        <w:t>point blood glucose summary for patients who switched due to suboptimal glycemic control</w:t>
      </w:r>
      <w:r w:rsidR="000002A3">
        <w:rPr>
          <w:sz w:val="24"/>
          <w:szCs w:val="24"/>
        </w:rPr>
        <w:t xml:space="preserve"> as recorded in medical records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389"/>
        <w:gridCol w:w="1836"/>
        <w:gridCol w:w="1389"/>
        <w:gridCol w:w="2006"/>
        <w:gridCol w:w="1359"/>
        <w:gridCol w:w="1451"/>
        <w:gridCol w:w="1225"/>
      </w:tblGrid>
      <w:tr w:rsidR="00DF1A06" w:rsidRPr="00DF1A06" w:rsidTr="0087077F">
        <w:trPr>
          <w:trHeight w:val="330"/>
        </w:trPr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color w:val="808000"/>
                <w:lang w:val="en-US"/>
              </w:rPr>
              <w:t> </w:t>
            </w:r>
            <w:r w:rsidRPr="00DF1A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 xml:space="preserve">Study time </w:t>
            </w:r>
            <w:r w:rsidRPr="00DF1A06">
              <w:rPr>
                <w:sz w:val="24"/>
                <w:szCs w:val="24"/>
                <w:lang w:val="en-AU"/>
              </w:rPr>
              <w:t>point (n=22)</w:t>
            </w:r>
          </w:p>
        </w:tc>
        <w:tc>
          <w:tcPr>
            <w:tcW w:w="153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P-value</w:t>
            </w:r>
            <w:r w:rsidRPr="00DF1A06">
              <w:rPr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F1A06" w:rsidRPr="00DF1A06" w:rsidTr="0087077F">
        <w:trPr>
          <w:trHeight w:val="957"/>
        </w:trPr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Blood glucose, mmol/L</w:t>
            </w:r>
            <w:r w:rsidRPr="00DF1A06">
              <w:rPr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Hospital admission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Basalin initiation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Insulin</w:t>
            </w:r>
          </w:p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switch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Hospital discharge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 xml:space="preserve">Basalin initiation vs. hospital admission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Insulin switch vs. Basalin initiation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Hospital discharge vs.  insulin switch</w:t>
            </w:r>
          </w:p>
        </w:tc>
      </w:tr>
      <w:tr w:rsidR="000B65B4" w:rsidRPr="00DF1A06" w:rsidTr="0087077F">
        <w:trPr>
          <w:trHeight w:val="315"/>
        </w:trPr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FBG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10.89 (3.91)</w:t>
            </w:r>
          </w:p>
        </w:tc>
        <w:tc>
          <w:tcPr>
            <w:tcW w:w="6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10.17 (3.59)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8.51 (2.18)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7.37 (1.7)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0.1210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0.0540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0.0337</w:t>
            </w:r>
          </w:p>
        </w:tc>
      </w:tr>
      <w:tr w:rsidR="000B65B4" w:rsidRPr="00DF1A06" w:rsidTr="0087077F">
        <w:trPr>
          <w:trHeight w:val="315"/>
        </w:trPr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Post-breakfast BG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12.77 (3.7)</w:t>
            </w:r>
          </w:p>
        </w:tc>
        <w:tc>
          <w:tcPr>
            <w:tcW w:w="6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12.28 (3.34)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11.03 (3.39)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9.4 (2.46)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0.4004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0.2561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0.0607</w:t>
            </w:r>
          </w:p>
        </w:tc>
      </w:tr>
      <w:tr w:rsidR="000B65B4" w:rsidRPr="00DF1A06" w:rsidTr="0087077F">
        <w:trPr>
          <w:trHeight w:val="315"/>
        </w:trPr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Pre-lunch BG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10.92 (3.81)</w:t>
            </w:r>
          </w:p>
        </w:tc>
        <w:tc>
          <w:tcPr>
            <w:tcW w:w="6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10.55 (2.93)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9.19 (2.65)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7.42 (1.9)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0.6695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0.0237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0.0068</w:t>
            </w:r>
          </w:p>
        </w:tc>
      </w:tr>
      <w:tr w:rsidR="000B65B4" w:rsidRPr="00DF1A06" w:rsidTr="0087077F">
        <w:trPr>
          <w:trHeight w:val="315"/>
        </w:trPr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Post-lunch BG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12.22 (4.53)</w:t>
            </w:r>
          </w:p>
        </w:tc>
        <w:tc>
          <w:tcPr>
            <w:tcW w:w="6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11.49 (4.45)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10.03 (2.94)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9.98 (2.91)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0.1305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0.1954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0.9352</w:t>
            </w:r>
          </w:p>
        </w:tc>
      </w:tr>
      <w:tr w:rsidR="000B65B4" w:rsidRPr="00DF1A06" w:rsidTr="0087077F">
        <w:trPr>
          <w:trHeight w:val="315"/>
        </w:trPr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Pre-dinner BG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9.63 (3.29)</w:t>
            </w:r>
          </w:p>
        </w:tc>
        <w:tc>
          <w:tcPr>
            <w:tcW w:w="6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9.46 (2.86)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8.91 (3.29)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8.67 (3.15)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0.7423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0.2621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0.7033</w:t>
            </w:r>
          </w:p>
        </w:tc>
      </w:tr>
      <w:tr w:rsidR="000B65B4" w:rsidRPr="00DF1A06" w:rsidTr="0087077F">
        <w:trPr>
          <w:trHeight w:val="315"/>
        </w:trPr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Post-dinner BG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11.5 (3.72)</w:t>
            </w:r>
          </w:p>
        </w:tc>
        <w:tc>
          <w:tcPr>
            <w:tcW w:w="6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11.52 (2.85)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10.08 (3.09)</w:t>
            </w:r>
          </w:p>
        </w:tc>
        <w:tc>
          <w:tcPr>
            <w:tcW w:w="761" w:type="pct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9 (2.49)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0.9702</w:t>
            </w:r>
          </w:p>
        </w:tc>
        <w:tc>
          <w:tcPr>
            <w:tcW w:w="5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0.0598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0.1530</w:t>
            </w:r>
          </w:p>
        </w:tc>
      </w:tr>
      <w:tr w:rsidR="000B65B4" w:rsidRPr="00DF1A06" w:rsidTr="0087077F">
        <w:trPr>
          <w:trHeight w:val="315"/>
        </w:trPr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  <w:lang w:val="en-AU"/>
              </w:rPr>
              <w:t>Pre-bedtime BG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11.31 (4.44)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11.38 (4.31)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9.36 (3.42)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F1A06">
              <w:rPr>
                <w:color w:val="000000"/>
                <w:sz w:val="24"/>
                <w:szCs w:val="24"/>
              </w:rPr>
              <w:t>8.12 (1.87)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0.9283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0.0434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4"/>
              </w:rPr>
              <w:t>0.1131</w:t>
            </w:r>
          </w:p>
        </w:tc>
      </w:tr>
    </w:tbl>
    <w:p w:rsidR="00DF1A06" w:rsidRDefault="00DF1A06" w:rsidP="000B65B4">
      <w:pPr>
        <w:spacing w:line="480" w:lineRule="auto"/>
        <w:rPr>
          <w:color w:val="808000"/>
          <w:lang w:val="en-US"/>
        </w:rPr>
      </w:pPr>
      <w:r>
        <w:rPr>
          <w:color w:val="808000"/>
          <w:lang w:val="en-US"/>
        </w:rPr>
        <w:t> </w:t>
      </w:r>
    </w:p>
    <w:p w:rsidR="00DF1A06" w:rsidRPr="00DF1A06" w:rsidRDefault="00DF1A06" w:rsidP="000B65B4">
      <w:pPr>
        <w:spacing w:line="480" w:lineRule="auto"/>
        <w:rPr>
          <w:sz w:val="24"/>
        </w:rPr>
      </w:pPr>
      <w:r w:rsidRPr="00DF1A06">
        <w:rPr>
          <w:sz w:val="24"/>
        </w:rPr>
        <w:lastRenderedPageBreak/>
        <w:t xml:space="preserve">Supplementary Table </w:t>
      </w:r>
      <w:r>
        <w:rPr>
          <w:sz w:val="24"/>
        </w:rPr>
        <w:t>3</w:t>
      </w:r>
      <w:r w:rsidRPr="00DF1A06">
        <w:rPr>
          <w:sz w:val="24"/>
        </w:rPr>
        <w:t xml:space="preserve">. </w:t>
      </w:r>
      <w:r>
        <w:rPr>
          <w:sz w:val="24"/>
          <w:szCs w:val="24"/>
        </w:rPr>
        <w:t>Summary of insulin doses during initial treatment with Basalin insulin glargine and after switching to Lantus for patients who switched to Lantus due to suboptimal glycemic control</w:t>
      </w:r>
      <w:r w:rsidR="001A5F3A">
        <w:rPr>
          <w:sz w:val="24"/>
          <w:szCs w:val="24"/>
        </w:rPr>
        <w:t xml:space="preserve"> as recorded in medical records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842"/>
        <w:gridCol w:w="1700"/>
        <w:gridCol w:w="993"/>
        <w:gridCol w:w="1700"/>
        <w:gridCol w:w="1560"/>
        <w:gridCol w:w="2295"/>
      </w:tblGrid>
      <w:tr w:rsidR="000B65B4" w:rsidRPr="00DF1A06" w:rsidTr="000B65B4">
        <w:trPr>
          <w:trHeight w:val="315"/>
        </w:trPr>
        <w:tc>
          <w:tcPr>
            <w:tcW w:w="1171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Insulin dose, IU</w:t>
            </w:r>
            <w:r w:rsidR="00F11E09">
              <w:rPr>
                <w:rFonts w:asciiTheme="minorHAnsi" w:hAnsiTheme="minorHAnsi"/>
                <w:color w:val="000000"/>
                <w:sz w:val="24"/>
                <w:szCs w:val="20"/>
              </w:rPr>
              <w:t>/kg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/day   </w:t>
            </w:r>
          </w:p>
        </w:tc>
        <w:tc>
          <w:tcPr>
            <w:tcW w:w="134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Basalin insulin glargine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pacing w:val="75"/>
                <w:sz w:val="24"/>
                <w:szCs w:val="20"/>
              </w:rPr>
              <w:t>Insulin switch</w:t>
            </w:r>
          </w:p>
        </w:tc>
        <w:tc>
          <w:tcPr>
            <w:tcW w:w="123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Lantus insulin glargine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P-value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a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 xml:space="preserve"> (Basalin final dose vs. originator final dose)</w:t>
            </w:r>
          </w:p>
        </w:tc>
      </w:tr>
      <w:tr w:rsidR="000B65B4" w:rsidRPr="00DF1A06" w:rsidTr="000B65B4">
        <w:trPr>
          <w:trHeight w:val="315"/>
        </w:trPr>
        <w:tc>
          <w:tcPr>
            <w:tcW w:w="117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344" w:type="pct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(mean duration 8.4 [5.92] days)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237" w:type="pct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(mean duration 11.7 [10.33] days)</w:t>
            </w:r>
          </w:p>
        </w:tc>
        <w:tc>
          <w:tcPr>
            <w:tcW w:w="87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</w:tr>
      <w:tr w:rsidR="000B65B4" w:rsidRPr="00DF1A06" w:rsidTr="000B65B4">
        <w:trPr>
          <w:trHeight w:val="315"/>
        </w:trPr>
        <w:tc>
          <w:tcPr>
            <w:tcW w:w="1171" w:type="pct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eastAsia="Times New Roman" w:hAnsiTheme="minorHAnsi"/>
                <w:sz w:val="24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Initial dose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Final dose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Initial dose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Final dose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 </w:t>
            </w:r>
          </w:p>
        </w:tc>
      </w:tr>
      <w:tr w:rsidR="000B65B4" w:rsidRPr="00DF1A06" w:rsidTr="000B65B4">
        <w:trPr>
          <w:trHeight w:val="315"/>
        </w:trPr>
        <w:tc>
          <w:tcPr>
            <w:tcW w:w="117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Insulin glargine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0.21 (0.09)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0.25 (0.08)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0.27 (0.1)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0.26 (0.1)</w:t>
            </w:r>
          </w:p>
        </w:tc>
        <w:tc>
          <w:tcPr>
            <w:tcW w:w="8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0.5069</w:t>
            </w:r>
          </w:p>
        </w:tc>
      </w:tr>
      <w:tr w:rsidR="000B65B4" w:rsidRPr="00DF1A06" w:rsidTr="000B65B4">
        <w:trPr>
          <w:trHeight w:val="360"/>
        </w:trPr>
        <w:tc>
          <w:tcPr>
            <w:tcW w:w="11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P-value, initial vs. final dose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699" w:type="pct"/>
            <w:vAlign w:val="center"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0.0485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eastAsia="Times New Roman" w:hAnsiTheme="minorHAnsi"/>
                <w:sz w:val="24"/>
                <w:szCs w:val="20"/>
              </w:rPr>
            </w:pPr>
          </w:p>
        </w:tc>
        <w:tc>
          <w:tcPr>
            <w:tcW w:w="59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0.7562</w:t>
            </w:r>
          </w:p>
        </w:tc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eastAsia="Times New Roman" w:hAnsiTheme="minorHAnsi"/>
                <w:sz w:val="24"/>
                <w:szCs w:val="20"/>
              </w:rPr>
            </w:pPr>
          </w:p>
        </w:tc>
      </w:tr>
      <w:tr w:rsidR="000B65B4" w:rsidRPr="00DF1A06" w:rsidTr="000B65B4">
        <w:trPr>
          <w:trHeight w:val="360"/>
        </w:trPr>
        <w:tc>
          <w:tcPr>
            <w:tcW w:w="11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Prandial insulin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b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0.33 (0.08)</w:t>
            </w: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0.43 (0.13)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1A06" w:rsidRPr="00DF1A06" w:rsidRDefault="00DF1A06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0.44 (0.13)</w:t>
            </w:r>
          </w:p>
        </w:tc>
        <w:tc>
          <w:tcPr>
            <w:tcW w:w="59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0.41 (0.14)</w:t>
            </w:r>
          </w:p>
        </w:tc>
        <w:tc>
          <w:tcPr>
            <w:tcW w:w="8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1A06" w:rsidRPr="00DF1A06" w:rsidRDefault="00DF1A06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0.5085</w:t>
            </w:r>
          </w:p>
        </w:tc>
      </w:tr>
      <w:tr w:rsidR="000B65B4" w:rsidRPr="00DF1A06" w:rsidTr="000B65B4">
        <w:trPr>
          <w:trHeight w:val="360"/>
        </w:trPr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 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lang w:val="en-AU"/>
              </w:rPr>
              <w:t>P-value, initial vs. final dose</w:t>
            </w:r>
            <w:r w:rsidRPr="00DF1A06">
              <w:rPr>
                <w:rFonts w:asciiTheme="minorHAnsi" w:hAnsiTheme="minorHAnsi"/>
                <w:color w:val="000000"/>
                <w:sz w:val="24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0.0021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eastAsia="CSongGB18030C-Light" w:hAnsiTheme="minorHAnsi"/>
                <w:color w:val="000000"/>
                <w:sz w:val="24"/>
                <w:szCs w:val="20"/>
              </w:rPr>
              <w:t>0.4096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65B4" w:rsidRPr="00DF1A06" w:rsidRDefault="000B65B4" w:rsidP="000B65B4">
            <w:pPr>
              <w:spacing w:line="480" w:lineRule="auto"/>
              <w:jc w:val="center"/>
              <w:rPr>
                <w:rFonts w:asciiTheme="minorHAnsi" w:hAnsiTheme="minorHAnsi"/>
                <w:sz w:val="24"/>
              </w:rPr>
            </w:pPr>
            <w:r w:rsidRPr="00DF1A06">
              <w:rPr>
                <w:rFonts w:asciiTheme="minorHAnsi" w:hAnsiTheme="minorHAnsi"/>
                <w:color w:val="000000"/>
                <w:sz w:val="24"/>
                <w:szCs w:val="20"/>
              </w:rPr>
              <w:t> </w:t>
            </w:r>
          </w:p>
        </w:tc>
      </w:tr>
    </w:tbl>
    <w:p w:rsidR="00DF1A06" w:rsidRDefault="00DF1A06" w:rsidP="000B65B4">
      <w:pPr>
        <w:spacing w:line="480" w:lineRule="auto"/>
        <w:rPr>
          <w:lang w:val="en-US"/>
        </w:rPr>
      </w:pPr>
      <w:r>
        <w:rPr>
          <w:color w:val="808000"/>
          <w:lang w:val="en-US"/>
        </w:rPr>
        <w:t> </w:t>
      </w:r>
    </w:p>
    <w:p w:rsidR="00DA7E22" w:rsidRDefault="00DF1A06" w:rsidP="000B65B4">
      <w:pPr>
        <w:spacing w:line="480" w:lineRule="auto"/>
        <w:rPr>
          <w:color w:val="808000"/>
          <w:lang w:val="en-US"/>
        </w:rPr>
      </w:pPr>
      <w:r>
        <w:rPr>
          <w:color w:val="808000"/>
          <w:lang w:val="en-US"/>
        </w:rPr>
        <w:t> </w:t>
      </w:r>
    </w:p>
    <w:p w:rsidR="00422BBD" w:rsidRDefault="00422BBD" w:rsidP="000B65B4">
      <w:pPr>
        <w:spacing w:line="480" w:lineRule="auto"/>
        <w:rPr>
          <w:color w:val="808000"/>
          <w:lang w:val="en-US"/>
        </w:rPr>
      </w:pPr>
    </w:p>
    <w:p w:rsidR="00422BBD" w:rsidRDefault="00422BBD" w:rsidP="000B65B4">
      <w:pPr>
        <w:spacing w:line="480" w:lineRule="auto"/>
        <w:rPr>
          <w:color w:val="808000"/>
          <w:lang w:val="en-US"/>
        </w:rPr>
      </w:pPr>
    </w:p>
    <w:p w:rsidR="00422BBD" w:rsidRDefault="00422BBD" w:rsidP="000B65B4">
      <w:pPr>
        <w:spacing w:line="480" w:lineRule="auto"/>
        <w:rPr>
          <w:color w:val="808000"/>
          <w:lang w:val="en-US"/>
        </w:rPr>
        <w:sectPr w:rsidR="00422BBD" w:rsidSect="00DF1A06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422BBD" w:rsidRDefault="00422BBD" w:rsidP="00422B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Supplementary Figure 1. Seven-point blood glucose measurement for Chinese patients with diabetes mellitus at hospital admission, </w:t>
      </w:r>
      <w:r>
        <w:rPr>
          <w:rFonts w:eastAsia="CSongGB18030C-Light" w:cstheme="minorHAnsi"/>
          <w:color w:val="000000"/>
          <w:sz w:val="24"/>
          <w:szCs w:val="24"/>
        </w:rPr>
        <w:t>Basalin</w:t>
      </w:r>
      <w:r>
        <w:rPr>
          <w:sz w:val="24"/>
          <w:szCs w:val="24"/>
        </w:rPr>
        <w:t xml:space="preserve"> insulin glargine initiation, insulin switch, and hospital discharge</w:t>
      </w:r>
    </w:p>
    <w:p w:rsidR="00422BBD" w:rsidRDefault="00422BBD" w:rsidP="00422BBD">
      <w:pPr>
        <w:rPr>
          <w:sz w:val="24"/>
          <w:szCs w:val="24"/>
        </w:rPr>
      </w:pPr>
    </w:p>
    <w:p w:rsidR="00422BBD" w:rsidRDefault="00422BBD" w:rsidP="00422BB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EEC5DC" wp14:editId="492947B6">
            <wp:extent cx="5448191" cy="3273817"/>
            <wp:effectExtent l="0" t="0" r="63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77" cy="3280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BBD" w:rsidRPr="00A83BA8" w:rsidRDefault="00422BBD" w:rsidP="00422BBD">
      <w:pPr>
        <w:rPr>
          <w:lang w:val="en-AU"/>
        </w:rPr>
      </w:pPr>
      <w:r w:rsidRPr="00A83BA8">
        <w:t>*</w:t>
      </w:r>
      <w:r w:rsidRPr="00A83BA8">
        <w:rPr>
          <w:rFonts w:hint="eastAsia"/>
        </w:rPr>
        <w:t>p&lt;0.05</w:t>
      </w:r>
      <w:r w:rsidRPr="00A83BA8">
        <w:t xml:space="preserve"> for i</w:t>
      </w:r>
      <w:r w:rsidRPr="00A83BA8">
        <w:rPr>
          <w:lang w:val="en-AU"/>
        </w:rPr>
        <w:t>nsulin switch vs. treatment initiation.</w:t>
      </w:r>
    </w:p>
    <w:p w:rsidR="00422BBD" w:rsidRPr="00A83BA8" w:rsidRDefault="00422BBD" w:rsidP="00422BBD">
      <w:pPr>
        <w:rPr>
          <w:lang w:val="en-AU"/>
        </w:rPr>
      </w:pPr>
      <w:r w:rsidRPr="00A83BA8">
        <w:t>†</w:t>
      </w:r>
      <w:r w:rsidRPr="00A83BA8">
        <w:rPr>
          <w:rFonts w:hint="eastAsia"/>
        </w:rPr>
        <w:t>p&lt;0.05</w:t>
      </w:r>
      <w:r w:rsidRPr="00A83BA8">
        <w:t xml:space="preserve"> for h</w:t>
      </w:r>
      <w:r w:rsidRPr="00A83BA8">
        <w:rPr>
          <w:lang w:val="en-AU"/>
        </w:rPr>
        <w:t xml:space="preserve">ospital discharge vs. </w:t>
      </w:r>
      <w:r>
        <w:rPr>
          <w:lang w:val="en-AU"/>
        </w:rPr>
        <w:t>insulin switch</w:t>
      </w:r>
      <w:r w:rsidRPr="00A83BA8">
        <w:rPr>
          <w:lang w:val="en-AU"/>
        </w:rPr>
        <w:t>.</w:t>
      </w:r>
    </w:p>
    <w:p w:rsidR="00422BBD" w:rsidRPr="00A83BA8" w:rsidRDefault="00422BBD" w:rsidP="00422BBD">
      <w:r w:rsidRPr="00A83BA8">
        <w:rPr>
          <w:rFonts w:ascii="Arial" w:hAnsi="Arial" w:cs="Arial"/>
          <w:color w:val="545454"/>
          <w:shd w:val="clear" w:color="auto" w:fill="FFFFFF"/>
        </w:rPr>
        <w:t>‡</w:t>
      </w:r>
      <w:r w:rsidRPr="00A83BA8">
        <w:rPr>
          <w:rFonts w:hint="eastAsia"/>
        </w:rPr>
        <w:t>p&lt;0.05</w:t>
      </w:r>
      <w:r w:rsidRPr="00A83BA8">
        <w:t xml:space="preserve"> for </w:t>
      </w:r>
      <w:r>
        <w:rPr>
          <w:lang w:val="en-AU"/>
        </w:rPr>
        <w:t>Basalin</w:t>
      </w:r>
      <w:r w:rsidRPr="00A83BA8">
        <w:rPr>
          <w:lang w:val="en-AU"/>
        </w:rPr>
        <w:t xml:space="preserve"> initiation vs. hospitalization.</w:t>
      </w:r>
    </w:p>
    <w:p w:rsidR="00422BBD" w:rsidRDefault="00422BBD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0B65B4">
      <w:pPr>
        <w:spacing w:line="480" w:lineRule="auto"/>
      </w:pPr>
    </w:p>
    <w:p w:rsidR="00891427" w:rsidRDefault="00891427" w:rsidP="008914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Supplementary Figure 2. Seven-point blood glucose measurement for Chinese patients with diabetes mellitus who received basal-bolus treatment only with no OAD use (n=62) at hospital admission, </w:t>
      </w:r>
      <w:r>
        <w:rPr>
          <w:rFonts w:eastAsia="CSongGB18030C-Light" w:cstheme="minorHAnsi"/>
          <w:color w:val="000000"/>
          <w:sz w:val="24"/>
          <w:szCs w:val="24"/>
        </w:rPr>
        <w:t>Basalin</w:t>
      </w:r>
      <w:r>
        <w:rPr>
          <w:sz w:val="24"/>
          <w:szCs w:val="24"/>
        </w:rPr>
        <w:t xml:space="preserve"> insulin glargine initiation, insulin switch, and hospital discharge</w:t>
      </w:r>
    </w:p>
    <w:p w:rsidR="00A37078" w:rsidRDefault="00A37078" w:rsidP="0089142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69CE93">
            <wp:extent cx="5506643" cy="3355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86" cy="335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078" w:rsidRPr="00A83BA8" w:rsidRDefault="00A37078" w:rsidP="00A37078">
      <w:pPr>
        <w:rPr>
          <w:lang w:val="en-AU"/>
        </w:rPr>
      </w:pPr>
      <w:r w:rsidRPr="00A83BA8">
        <w:t>*</w:t>
      </w:r>
      <w:r w:rsidRPr="00A83BA8">
        <w:rPr>
          <w:rFonts w:hint="eastAsia"/>
        </w:rPr>
        <w:t>p&lt;0.05</w:t>
      </w:r>
      <w:r w:rsidRPr="00A83BA8">
        <w:t xml:space="preserve"> for i</w:t>
      </w:r>
      <w:r w:rsidRPr="00A83BA8">
        <w:rPr>
          <w:lang w:val="en-AU"/>
        </w:rPr>
        <w:t>nsulin switch vs. treatment initiation.</w:t>
      </w:r>
    </w:p>
    <w:p w:rsidR="00A37078" w:rsidRPr="00A83BA8" w:rsidRDefault="00A37078" w:rsidP="00A37078">
      <w:pPr>
        <w:rPr>
          <w:lang w:val="en-AU"/>
        </w:rPr>
      </w:pPr>
      <w:r w:rsidRPr="00A83BA8">
        <w:t>†</w:t>
      </w:r>
      <w:r w:rsidRPr="00A83BA8">
        <w:rPr>
          <w:rFonts w:hint="eastAsia"/>
        </w:rPr>
        <w:t>p&lt;0.05</w:t>
      </w:r>
      <w:r w:rsidRPr="00A83BA8">
        <w:t xml:space="preserve"> for h</w:t>
      </w:r>
      <w:r w:rsidRPr="00A83BA8">
        <w:rPr>
          <w:lang w:val="en-AU"/>
        </w:rPr>
        <w:t xml:space="preserve">ospital discharge vs. </w:t>
      </w:r>
      <w:r>
        <w:rPr>
          <w:lang w:val="en-AU"/>
        </w:rPr>
        <w:t>insulin switch</w:t>
      </w:r>
      <w:r w:rsidRPr="00A83BA8">
        <w:rPr>
          <w:lang w:val="en-AU"/>
        </w:rPr>
        <w:t>.</w:t>
      </w:r>
    </w:p>
    <w:p w:rsidR="00A37078" w:rsidRPr="00A83BA8" w:rsidRDefault="00A37078" w:rsidP="00A37078">
      <w:r w:rsidRPr="00A83BA8">
        <w:rPr>
          <w:rFonts w:ascii="Arial" w:hAnsi="Arial" w:cs="Arial"/>
          <w:color w:val="545454"/>
          <w:shd w:val="clear" w:color="auto" w:fill="FFFFFF"/>
        </w:rPr>
        <w:t>‡</w:t>
      </w:r>
      <w:r w:rsidRPr="00A83BA8">
        <w:rPr>
          <w:rFonts w:hint="eastAsia"/>
        </w:rPr>
        <w:t>p&lt;0.05</w:t>
      </w:r>
      <w:r w:rsidRPr="00A83BA8">
        <w:t xml:space="preserve"> for </w:t>
      </w:r>
      <w:r>
        <w:rPr>
          <w:lang w:val="en-AU"/>
        </w:rPr>
        <w:t>Basalin</w:t>
      </w:r>
      <w:r w:rsidRPr="00A83BA8">
        <w:rPr>
          <w:lang w:val="en-AU"/>
        </w:rPr>
        <w:t xml:space="preserve"> initiation vs. hospitalization.</w:t>
      </w:r>
    </w:p>
    <w:p w:rsidR="00891427" w:rsidRDefault="00891427" w:rsidP="000B65B4">
      <w:pPr>
        <w:spacing w:line="480" w:lineRule="auto"/>
      </w:pPr>
    </w:p>
    <w:sectPr w:rsidR="00891427" w:rsidSect="00422B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E5" w:rsidRDefault="00237EE5" w:rsidP="00AF684B">
      <w:r>
        <w:separator/>
      </w:r>
    </w:p>
  </w:endnote>
  <w:endnote w:type="continuationSeparator" w:id="0">
    <w:p w:rsidR="00237EE5" w:rsidRDefault="00237EE5" w:rsidP="00AF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SongGB18030C-Light">
    <w:altName w:val="宋体"/>
    <w:charset w:val="86"/>
    <w:family w:val="roman"/>
    <w:pitch w:val="variable"/>
    <w:sig w:usb0="00000000" w:usb1="28CF4000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E5" w:rsidRDefault="00237EE5" w:rsidP="00AF684B">
      <w:r>
        <w:separator/>
      </w:r>
    </w:p>
  </w:footnote>
  <w:footnote w:type="continuationSeparator" w:id="0">
    <w:p w:rsidR="00237EE5" w:rsidRDefault="00237EE5" w:rsidP="00AF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53"/>
    <w:rsid w:val="000002A3"/>
    <w:rsid w:val="000337C2"/>
    <w:rsid w:val="000B65B4"/>
    <w:rsid w:val="00110AB3"/>
    <w:rsid w:val="001A5F3A"/>
    <w:rsid w:val="00237EE5"/>
    <w:rsid w:val="00407853"/>
    <w:rsid w:val="00422BBD"/>
    <w:rsid w:val="0087077F"/>
    <w:rsid w:val="00891427"/>
    <w:rsid w:val="00A37078"/>
    <w:rsid w:val="00AF684B"/>
    <w:rsid w:val="00D02AF5"/>
    <w:rsid w:val="00DA7E22"/>
    <w:rsid w:val="00DF1A06"/>
    <w:rsid w:val="00F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66454"/>
  <w15:docId w15:val="{01B42BFC-6216-41B1-B21A-69CA3B0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A06"/>
    <w:pPr>
      <w:spacing w:after="0" w:line="240" w:lineRule="auto"/>
    </w:pPr>
    <w:rPr>
      <w:rFonts w:ascii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06"/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DF1A06"/>
    <w:rPr>
      <w:rFonts w:ascii="Tahoma" w:hAnsi="Tahoma" w:cs="Tahoma"/>
      <w:sz w:val="16"/>
      <w:szCs w:val="16"/>
      <w:lang w:val="en-GB"/>
    </w:rPr>
  </w:style>
  <w:style w:type="paragraph" w:styleId="a5">
    <w:name w:val="header"/>
    <w:basedOn w:val="a"/>
    <w:link w:val="a6"/>
    <w:uiPriority w:val="99"/>
    <w:unhideWhenUsed/>
    <w:rsid w:val="00AF6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84B"/>
    <w:rPr>
      <w:rFonts w:ascii="Calibri" w:hAnsi="Calibri" w:cs="Times New Roman"/>
      <w:sz w:val="18"/>
      <w:szCs w:val="18"/>
      <w:lang w:val="en-GB"/>
    </w:rPr>
  </w:style>
  <w:style w:type="paragraph" w:styleId="a7">
    <w:name w:val="footer"/>
    <w:basedOn w:val="a"/>
    <w:link w:val="a8"/>
    <w:uiPriority w:val="99"/>
    <w:unhideWhenUsed/>
    <w:rsid w:val="00AF68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84B"/>
    <w:rPr>
      <w:rFonts w:ascii="Calibri" w:hAnsi="Calibri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Burrell</dc:creator>
  <cp:keywords/>
  <dc:description/>
  <cp:lastModifiedBy>Jake Burrell</cp:lastModifiedBy>
  <cp:revision>12</cp:revision>
  <dcterms:created xsi:type="dcterms:W3CDTF">2017-06-06T03:16:00Z</dcterms:created>
  <dcterms:modified xsi:type="dcterms:W3CDTF">2018-01-31T09:54:00Z</dcterms:modified>
</cp:coreProperties>
</file>