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C1" w:rsidRPr="00A717C1" w:rsidRDefault="00A717C1" w:rsidP="00A717C1">
      <w:pPr>
        <w:jc w:val="center"/>
        <w:rPr>
          <w:rFonts w:ascii="Times New Roman" w:eastAsia="Calibri" w:hAnsi="Times New Roman" w:cs="Times New Roman"/>
          <w:b/>
          <w:sz w:val="24"/>
          <w:lang w:val="en-GB"/>
        </w:rPr>
      </w:pPr>
      <w:r w:rsidRPr="00A717C1">
        <w:rPr>
          <w:rFonts w:ascii="Times New Roman" w:eastAsia="Calibri" w:hAnsi="Times New Roman" w:cs="Times New Roman"/>
          <w:b/>
          <w:sz w:val="24"/>
          <w:lang w:val="en-GB"/>
        </w:rPr>
        <w:t>References of the studies included in the meta-analysis</w:t>
      </w:r>
    </w:p>
    <w:p w:rsidR="00465DBB" w:rsidRPr="00702626" w:rsidRDefault="00465DBB" w:rsidP="00465DBB">
      <w:pPr>
        <w:spacing w:after="0" w:line="240" w:lineRule="auto"/>
        <w:rPr>
          <w:rFonts w:ascii="Times New Roman" w:eastAsia="Calibri" w:hAnsi="Times New Roman" w:cs="Times New Roman"/>
          <w:sz w:val="24"/>
          <w:lang w:val="en-GB"/>
        </w:rPr>
      </w:pPr>
      <w:bookmarkStart w:id="0" w:name="_GoBack"/>
      <w:proofErr w:type="spellStart"/>
      <w:r w:rsidRPr="00702626">
        <w:rPr>
          <w:rFonts w:ascii="Times New Roman" w:eastAsia="Calibri" w:hAnsi="Times New Roman" w:cs="Times New Roman"/>
          <w:sz w:val="24"/>
          <w:lang w:val="en-GB"/>
        </w:rPr>
        <w:t>D’León</w:t>
      </w:r>
      <w:proofErr w:type="spellEnd"/>
      <w:r w:rsidRPr="00702626">
        <w:rPr>
          <w:rFonts w:ascii="Times New Roman" w:eastAsia="Calibri" w:hAnsi="Times New Roman" w:cs="Times New Roman"/>
          <w:sz w:val="24"/>
          <w:lang w:val="en-GB"/>
        </w:rPr>
        <w:t xml:space="preserve"> R. and </w:t>
      </w:r>
      <w:proofErr w:type="spellStart"/>
      <w:r w:rsidRPr="00702626">
        <w:rPr>
          <w:rFonts w:ascii="Times New Roman" w:eastAsia="Calibri" w:hAnsi="Times New Roman" w:cs="Times New Roman"/>
          <w:sz w:val="24"/>
          <w:lang w:val="en-GB"/>
        </w:rPr>
        <w:t>Izara</w:t>
      </w:r>
      <w:proofErr w:type="spellEnd"/>
      <w:r w:rsidRPr="00702626">
        <w:rPr>
          <w:rFonts w:ascii="Times New Roman" w:eastAsia="Calibri" w:hAnsi="Times New Roman" w:cs="Times New Roman"/>
          <w:sz w:val="24"/>
          <w:lang w:val="en-GB"/>
        </w:rPr>
        <w:t xml:space="preserve">, N. (2018). Development of a Predictive Anticipatory Activity (PAA) </w:t>
      </w:r>
    </w:p>
    <w:p w:rsidR="00465DBB" w:rsidRPr="00702626" w:rsidRDefault="00465DBB" w:rsidP="00465DBB">
      <w:pPr>
        <w:spacing w:after="0" w:line="240" w:lineRule="auto"/>
        <w:rPr>
          <w:rFonts w:ascii="Times New Roman" w:eastAsia="Calibri" w:hAnsi="Times New Roman" w:cs="Times New Roman"/>
          <w:sz w:val="24"/>
          <w:lang w:val="en-GB"/>
        </w:rPr>
      </w:pPr>
      <w:r w:rsidRPr="00702626">
        <w:rPr>
          <w:rFonts w:ascii="Times New Roman" w:eastAsia="Calibri" w:hAnsi="Times New Roman" w:cs="Times New Roman"/>
          <w:sz w:val="24"/>
          <w:lang w:val="en-GB"/>
        </w:rPr>
        <w:t xml:space="preserve">Software: A First Step towards a Medium-Term Goal. </w:t>
      </w:r>
      <w:r w:rsidR="00426278" w:rsidRPr="00702626">
        <w:rPr>
          <w:rFonts w:ascii="Times New Roman" w:eastAsia="Calibri" w:hAnsi="Times New Roman" w:cs="Times New Roman"/>
          <w:sz w:val="24"/>
          <w:lang w:val="en-GB"/>
        </w:rPr>
        <w:t xml:space="preserve">Proceedings of </w:t>
      </w:r>
      <w:r w:rsidRPr="00702626">
        <w:rPr>
          <w:rFonts w:ascii="Times New Roman" w:eastAsia="Calibri" w:hAnsi="Times New Roman" w:cs="Times New Roman"/>
          <w:sz w:val="24"/>
          <w:lang w:val="en-GB"/>
        </w:rPr>
        <w:t>The Parapsychological Association Convention 2018, Palo Alto, CA</w:t>
      </w:r>
    </w:p>
    <w:bookmarkEnd w:id="0"/>
    <w:p w:rsidR="00465DBB" w:rsidRPr="00465DBB" w:rsidRDefault="00465DBB" w:rsidP="00465DBB">
      <w:pPr>
        <w:spacing w:after="0" w:line="240" w:lineRule="auto"/>
        <w:rPr>
          <w:rFonts w:ascii="Times New Roman" w:eastAsia="Calibri" w:hAnsi="Times New Roman" w:cs="Times New Roman"/>
          <w:sz w:val="24"/>
          <w:lang w:val="en-GB"/>
        </w:rPr>
      </w:pP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r w:rsidRPr="00A717C1">
        <w:rPr>
          <w:rFonts w:ascii="Times New Roman" w:eastAsia="Calibri" w:hAnsi="Times New Roman" w:cs="Times New Roman"/>
          <w:sz w:val="24"/>
        </w:rPr>
        <w:t xml:space="preserve">Duma, G. M., Mento, G., Manari, T., Martinelli, M., &amp;Tressoldi, P. E. (2017). </w:t>
      </w:r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Driving with Intuition: A Preregistered Study About the EEG Anticipation of Simulated Random Car Accidents. </w:t>
      </w:r>
      <w:proofErr w:type="spellStart"/>
      <w:r w:rsidRPr="00A717C1">
        <w:rPr>
          <w:rFonts w:ascii="Times New Roman" w:eastAsia="Calibri" w:hAnsi="Times New Roman" w:cs="Times New Roman"/>
          <w:i/>
          <w:sz w:val="24"/>
          <w:lang w:val="en-GB"/>
        </w:rPr>
        <w:t>PLoSOne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12(1): e0170370. doi:10.1371/journal.pone.0170370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Jolii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, J. and Bierman, D. (2017a). Testing the Potential Paradoxes in “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Retrocausal</w:t>
      </w:r>
      <w:proofErr w:type="spellEnd"/>
      <w:proofErr w:type="gramStart"/>
      <w:r w:rsidRPr="00A717C1">
        <w:rPr>
          <w:rFonts w:ascii="Times New Roman" w:eastAsia="Calibri" w:hAnsi="Times New Roman" w:cs="Times New Roman"/>
          <w:sz w:val="24"/>
          <w:lang w:val="en-GB"/>
        </w:rPr>
        <w:t>”  Phenomena</w:t>
      </w:r>
      <w:proofErr w:type="gram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. In Quantum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Retrocausation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III, AIP Conf. Proc. 1841, 030002-1–030002-9;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doi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: 10.1063/1.4982774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Jolii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, J. and Bierman, D. (2017b). Implicit psi in a stimulus detection task. Paper presented at the PA 60th Annual Convention. Athens.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McCraty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, R., &amp; Atkinson, M. (2014). Electrophysiology of intuition: pre-stimulus responses in group and individual participants using a Roulette paradigm. </w:t>
      </w:r>
      <w:r w:rsidRPr="00A717C1">
        <w:rPr>
          <w:rFonts w:ascii="Times New Roman" w:eastAsia="Calibri" w:hAnsi="Times New Roman" w:cs="Times New Roman"/>
          <w:i/>
          <w:sz w:val="24"/>
          <w:lang w:val="en-GB"/>
        </w:rPr>
        <w:t>Global Advances in Health and Medicine,</w:t>
      </w:r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3(2), 16-27.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Kittenis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, M. (2011). Anomalous anticipatory event-related EEG activity in a face recognition memory task. Paper presented at the Parapsychological Association Annual Convention,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Curitiba</w:t>
      </w:r>
      <w:proofErr w:type="gramStart"/>
      <w:r w:rsidRPr="00A717C1">
        <w:rPr>
          <w:rFonts w:ascii="Times New Roman" w:eastAsia="Calibri" w:hAnsi="Times New Roman" w:cs="Times New Roman"/>
          <w:sz w:val="24"/>
          <w:lang w:val="en-GB"/>
        </w:rPr>
        <w:t>,Brasil</w:t>
      </w:r>
      <w:proofErr w:type="spellEnd"/>
      <w:proofErr w:type="gramEnd"/>
      <w:r w:rsidRPr="00A717C1">
        <w:rPr>
          <w:rFonts w:ascii="Times New Roman" w:eastAsia="Calibri" w:hAnsi="Times New Roman" w:cs="Times New Roman"/>
          <w:sz w:val="24"/>
          <w:lang w:val="en-GB"/>
        </w:rPr>
        <w:t>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r w:rsidRPr="00A717C1">
        <w:rPr>
          <w:rFonts w:ascii="Times New Roman" w:eastAsia="Calibri" w:hAnsi="Times New Roman" w:cs="Times New Roman"/>
          <w:sz w:val="24"/>
          <w:lang w:val="en-GB"/>
        </w:rPr>
        <w:t>May, E. C., &amp;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Spottiswoode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, S. J. P. (2014). Anomalous Anticipatory Effects in the Human Autonomic Nervous System. In Edwin C. May &amp;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Sonali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Bhatt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Marwaha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(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Eds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). Anomalous Cognition: Remote Viewing Research and Theory, pp. 152-157.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Mossbridge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, J. A. (2014). Single-trial presentiment experiment. KPU Registry ID N. 1005.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bookmarkStart w:id="1" w:name="_Hlk498331544"/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Mossbridge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, J. A. (2015). Single-trial confirmatory presentiment experiment. KPU Registry ID N. 1018.</w:t>
      </w:r>
    </w:p>
    <w:bookmarkEnd w:id="1"/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Mossbridge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, J. A. (2017). Characteristic Alpha Reflects Predictive Anticipatory Activity (PAA) in an Auditory-Visual Task. In International Conference on Augmented Cognition (pp. 79-89). Springer, Cham.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Radin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, D. I.,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Vieten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, C., Michel, L., &amp; Delorme, A. (2011). Electrocortical Activity Prior to Unpredictable Stimuli in Meditators and Nonmeditators. </w:t>
      </w:r>
      <w:r w:rsidRPr="00A717C1">
        <w:rPr>
          <w:rFonts w:ascii="Times New Roman" w:eastAsia="Calibri" w:hAnsi="Times New Roman" w:cs="Times New Roman"/>
          <w:i/>
          <w:sz w:val="24"/>
          <w:lang w:val="en-GB"/>
        </w:rPr>
        <w:t>Explore: The Journal of Science and Healing</w:t>
      </w:r>
      <w:r w:rsidRPr="00A717C1">
        <w:rPr>
          <w:rFonts w:ascii="Times New Roman" w:eastAsia="Calibri" w:hAnsi="Times New Roman" w:cs="Times New Roman"/>
          <w:sz w:val="24"/>
          <w:lang w:val="en-GB"/>
        </w:rPr>
        <w:t>, 7(5), 286-299.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Rezaei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, S., Mirzaei, M., &amp;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Zali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, M. R. (2014). Nonlocal intuition: replication and paired-subjects enhancement effects. </w:t>
      </w:r>
      <w:r w:rsidRPr="00A717C1">
        <w:rPr>
          <w:rFonts w:ascii="Times New Roman" w:eastAsia="Calibri" w:hAnsi="Times New Roman" w:cs="Times New Roman"/>
          <w:i/>
          <w:sz w:val="24"/>
          <w:lang w:val="en-GB"/>
        </w:rPr>
        <w:t>Global Advances in Health and Medicine</w:t>
      </w:r>
      <w:r w:rsidRPr="00A717C1">
        <w:rPr>
          <w:rFonts w:ascii="Times New Roman" w:eastAsia="Calibri" w:hAnsi="Times New Roman" w:cs="Times New Roman"/>
          <w:sz w:val="24"/>
          <w:lang w:val="en-GB"/>
        </w:rPr>
        <w:t>, 3(2), 5-15.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Savva, L. (2014). Is some of the evidence for ostensible precognition indicative of Darwinian adaptation to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retrocausalinfluences</w:t>
      </w:r>
      <w:proofErr w:type="spellEnd"/>
      <w:proofErr w:type="gramStart"/>
      <w:r w:rsidRPr="00A717C1">
        <w:rPr>
          <w:rFonts w:ascii="Times New Roman" w:eastAsia="Calibri" w:hAnsi="Times New Roman" w:cs="Times New Roman"/>
          <w:sz w:val="24"/>
          <w:lang w:val="en-GB"/>
        </w:rPr>
        <w:t>?.</w:t>
      </w:r>
      <w:proofErr w:type="gram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Dissertation. Department of Psychology, Goldsmiths College. </w:t>
      </w:r>
      <w:hyperlink r:id="rId6" w:history="1">
        <w:r w:rsidRPr="00A717C1">
          <w:rPr>
            <w:rFonts w:ascii="Times New Roman" w:eastAsia="Calibri" w:hAnsi="Times New Roman" w:cs="Times New Roman"/>
            <w:sz w:val="24"/>
            <w:u w:val="single"/>
            <w:lang w:val="en-GB"/>
          </w:rPr>
          <w:t>http://research.gold.ac.uk/10721/</w:t>
        </w:r>
      </w:hyperlink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Siller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A,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Ambach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W and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Vaitl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D (2015). Investigating expectation effects using multiple physiological measures. </w:t>
      </w:r>
      <w:r w:rsidRPr="00A717C1">
        <w:rPr>
          <w:rFonts w:ascii="Times New Roman" w:eastAsia="Calibri" w:hAnsi="Times New Roman" w:cs="Times New Roman"/>
          <w:i/>
          <w:sz w:val="24"/>
          <w:lang w:val="en-GB"/>
        </w:rPr>
        <w:t>Frontiers in Psychology</w:t>
      </w:r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,.6:1553.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doi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: 10.3389/fpsyg.2015.01553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Silva, F.E. (2015). El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hipotéticoefecto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de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anticipación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anómala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de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stímulos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aparentemente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impredecibles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¿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podría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afectar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la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toma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de decision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humana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? In A. Parra (Ed). Ojos Invisibles. Editorial Antigua. Buenos Aires.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r w:rsidRPr="00A717C1">
        <w:rPr>
          <w:rFonts w:ascii="Times New Roman" w:eastAsia="Calibri" w:hAnsi="Times New Roman" w:cs="Times New Roman"/>
          <w:sz w:val="24"/>
          <w:lang w:val="en-GB"/>
        </w:rPr>
        <w:lastRenderedPageBreak/>
        <w:t xml:space="preserve">Singh, P.K. (2009). Personality correlates to electrophysiological measures of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prestimulus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response. Dissertation presented to Institute of Transpersonal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Psychology</w:t>
      </w:r>
      <w:proofErr w:type="gramStart"/>
      <w:r w:rsidRPr="00A717C1">
        <w:rPr>
          <w:rFonts w:ascii="Times New Roman" w:eastAsia="Calibri" w:hAnsi="Times New Roman" w:cs="Times New Roman"/>
          <w:sz w:val="24"/>
          <w:lang w:val="en-GB"/>
        </w:rPr>
        <w:t>,Palo</w:t>
      </w:r>
      <w:proofErr w:type="spellEnd"/>
      <w:proofErr w:type="gram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 Alto, California.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</w:rPr>
      </w:pPr>
      <w:r w:rsidRPr="00A717C1">
        <w:rPr>
          <w:rFonts w:ascii="Times New Roman" w:eastAsia="Calibri" w:hAnsi="Times New Roman" w:cs="Times New Roman"/>
          <w:sz w:val="24"/>
        </w:rPr>
        <w:t xml:space="preserve">Tressoldi, P. E., Martinelli, M., Semenzato, L., &amp; Cappato, S. (2011). </w:t>
      </w:r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Let your eyes predict: prediction accuracy of pupillary responses to random alerting and neutral sounds. </w:t>
      </w:r>
      <w:r w:rsidRPr="00A717C1">
        <w:rPr>
          <w:rFonts w:ascii="Times New Roman" w:eastAsia="Calibri" w:hAnsi="Times New Roman" w:cs="Times New Roman"/>
          <w:i/>
          <w:iCs/>
          <w:sz w:val="24"/>
        </w:rPr>
        <w:t>Sage Open</w:t>
      </w:r>
      <w:r w:rsidRPr="00A717C1">
        <w:rPr>
          <w:rFonts w:ascii="Times New Roman" w:eastAsia="Calibri" w:hAnsi="Times New Roman" w:cs="Times New Roman"/>
          <w:sz w:val="24"/>
        </w:rPr>
        <w:t xml:space="preserve">, </w:t>
      </w:r>
      <w:r w:rsidRPr="00A717C1">
        <w:rPr>
          <w:rFonts w:ascii="Times New Roman" w:eastAsia="Calibri" w:hAnsi="Times New Roman" w:cs="Times New Roman"/>
          <w:i/>
          <w:iCs/>
          <w:sz w:val="24"/>
        </w:rPr>
        <w:t>1</w:t>
      </w:r>
      <w:r w:rsidRPr="00A717C1">
        <w:rPr>
          <w:rFonts w:ascii="Times New Roman" w:eastAsia="Calibri" w:hAnsi="Times New Roman" w:cs="Times New Roman"/>
          <w:sz w:val="24"/>
        </w:rPr>
        <w:t>(2), doi.org/10.1177/2158244011420451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r w:rsidRPr="00A717C1">
        <w:rPr>
          <w:rFonts w:ascii="Times New Roman" w:eastAsia="Calibri" w:hAnsi="Times New Roman" w:cs="Times New Roman"/>
          <w:sz w:val="24"/>
        </w:rPr>
        <w:t xml:space="preserve">Tressoldi, P. E., Martinelli, M., &amp; Semenzato, L. (2014). </w:t>
      </w:r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Pupil dilation prediction of random events. </w:t>
      </w:r>
      <w:r w:rsidRPr="00A717C1">
        <w:rPr>
          <w:rFonts w:ascii="Times New Roman" w:eastAsia="Calibri" w:hAnsi="Times New Roman" w:cs="Times New Roman"/>
          <w:i/>
          <w:sz w:val="24"/>
          <w:lang w:val="en-GB"/>
        </w:rPr>
        <w:t>F1000Research</w:t>
      </w:r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, 2:262;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doi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>: 10.12688/f1000research.2-262.v2.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Tressoldi, P. E., Martinelli, M.,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Semenzato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, L., &amp; </w:t>
      </w:r>
      <w:proofErr w:type="spellStart"/>
      <w:r w:rsidRPr="00A717C1">
        <w:rPr>
          <w:rFonts w:ascii="Times New Roman" w:eastAsia="Calibri" w:hAnsi="Times New Roman" w:cs="Times New Roman"/>
          <w:sz w:val="24"/>
          <w:lang w:val="en-GB"/>
        </w:rPr>
        <w:t>Gonella</w:t>
      </w:r>
      <w:proofErr w:type="spellEnd"/>
      <w:r w:rsidRPr="00A717C1">
        <w:rPr>
          <w:rFonts w:ascii="Times New Roman" w:eastAsia="Calibri" w:hAnsi="Times New Roman" w:cs="Times New Roman"/>
          <w:sz w:val="24"/>
          <w:lang w:val="en-GB"/>
        </w:rPr>
        <w:t xml:space="preserve">, A. (2015). Does psychophysiological predictive anticipatory activity predict real or future probable events? </w:t>
      </w:r>
      <w:r w:rsidRPr="00A717C1">
        <w:rPr>
          <w:rFonts w:ascii="Times New Roman" w:eastAsia="Calibri" w:hAnsi="Times New Roman" w:cs="Times New Roman"/>
          <w:i/>
          <w:sz w:val="24"/>
          <w:lang w:val="en-GB"/>
        </w:rPr>
        <w:t>EXPLORE: The Journal of Science and Healing</w:t>
      </w:r>
      <w:r w:rsidRPr="00A717C1">
        <w:rPr>
          <w:rFonts w:ascii="Times New Roman" w:eastAsia="Calibri" w:hAnsi="Times New Roman" w:cs="Times New Roman"/>
          <w:sz w:val="24"/>
          <w:lang w:val="en-GB"/>
        </w:rPr>
        <w:t>, 11(2), 109-117.</w:t>
      </w: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</w:p>
    <w:p w:rsidR="00A717C1" w:rsidRPr="00A717C1" w:rsidRDefault="00A717C1" w:rsidP="00A717C1">
      <w:pPr>
        <w:rPr>
          <w:rFonts w:ascii="Times New Roman" w:eastAsia="Calibri" w:hAnsi="Times New Roman" w:cs="Times New Roman"/>
          <w:sz w:val="24"/>
          <w:lang w:val="en-GB"/>
        </w:rPr>
      </w:pPr>
    </w:p>
    <w:p w:rsidR="002A1562" w:rsidRDefault="00702626"/>
    <w:sectPr w:rsidR="002A1562" w:rsidSect="0042173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D4" w:rsidRDefault="003A0ED4">
      <w:pPr>
        <w:spacing w:after="0" w:line="240" w:lineRule="auto"/>
      </w:pPr>
      <w:r>
        <w:separator/>
      </w:r>
    </w:p>
  </w:endnote>
  <w:endnote w:type="continuationSeparator" w:id="0">
    <w:p w:rsidR="003A0ED4" w:rsidRDefault="003A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E6" w:rsidRDefault="00A717C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02626">
      <w:rPr>
        <w:noProof/>
      </w:rPr>
      <w:t>2</w:t>
    </w:r>
    <w:r>
      <w:fldChar w:fldCharType="end"/>
    </w:r>
  </w:p>
  <w:p w:rsidR="000B2BE6" w:rsidRDefault="00702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D4" w:rsidRDefault="003A0ED4">
      <w:pPr>
        <w:spacing w:after="0" w:line="240" w:lineRule="auto"/>
      </w:pPr>
      <w:r>
        <w:separator/>
      </w:r>
    </w:p>
  </w:footnote>
  <w:footnote w:type="continuationSeparator" w:id="0">
    <w:p w:rsidR="003A0ED4" w:rsidRDefault="003A0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C1"/>
    <w:rsid w:val="002F592D"/>
    <w:rsid w:val="003A0ED4"/>
    <w:rsid w:val="00426278"/>
    <w:rsid w:val="00465DBB"/>
    <w:rsid w:val="005203B9"/>
    <w:rsid w:val="00702626"/>
    <w:rsid w:val="00A717C1"/>
    <w:rsid w:val="00D2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51EDC-BA21-4EBC-8ECB-BF513212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17C1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717C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earch.gold.ac.uk/1072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Tressoldi</dc:creator>
  <cp:keywords/>
  <dc:description/>
  <cp:lastModifiedBy>Mahnoor Butt</cp:lastModifiedBy>
  <cp:revision>4</cp:revision>
  <dcterms:created xsi:type="dcterms:W3CDTF">2018-03-16T17:54:00Z</dcterms:created>
  <dcterms:modified xsi:type="dcterms:W3CDTF">2018-07-12T11:11:00Z</dcterms:modified>
</cp:coreProperties>
</file>