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81" w:rsidRDefault="00FA4B41" w:rsidP="00AE53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Table S1. </w:t>
      </w:r>
      <w:r w:rsidR="00AE5381" w:rsidRPr="00AE5381">
        <w:rPr>
          <w:rFonts w:ascii="Times New Roman" w:hAnsi="Times New Roman" w:cs="Times New Roman"/>
          <w:sz w:val="24"/>
          <w:szCs w:val="24"/>
        </w:rPr>
        <w:t xml:space="preserve">Table of </w:t>
      </w:r>
      <w:r w:rsidR="00C30E69" w:rsidRPr="00C30E69">
        <w:rPr>
          <w:rFonts w:ascii="Times New Roman" w:hAnsi="Times New Roman" w:cs="Times New Roman"/>
          <w:sz w:val="24"/>
          <w:szCs w:val="24"/>
        </w:rPr>
        <w:t>the percent of times journals used too few and too many decimal places</w:t>
      </w:r>
      <w:r w:rsidR="00C30E69">
        <w:rPr>
          <w:rFonts w:ascii="Times New Roman" w:hAnsi="Times New Roman" w:cs="Times New Roman"/>
          <w:sz w:val="24"/>
          <w:szCs w:val="24"/>
        </w:rPr>
        <w:t xml:space="preserve"> according to the guidelines. The observed numbers are in brackets</w:t>
      </w:r>
      <w:r w:rsidR="00AE5381">
        <w:rPr>
          <w:rFonts w:ascii="Times New Roman" w:hAnsi="Times New Roman" w:cs="Times New Roman"/>
          <w:sz w:val="24"/>
          <w:szCs w:val="24"/>
        </w:rPr>
        <w:t>. Rows ordered by the percent “just right”.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644"/>
        <w:gridCol w:w="1644"/>
        <w:gridCol w:w="1644"/>
        <w:gridCol w:w="1247"/>
      </w:tblGrid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644" w:type="dxa"/>
          </w:tcPr>
          <w:p w:rsidR="00991D45" w:rsidRPr="00991D45" w:rsidRDefault="00991D45" w:rsidP="0094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b/>
                <w:sz w:val="24"/>
                <w:szCs w:val="24"/>
              </w:rPr>
              <w:t>Too few</w:t>
            </w:r>
          </w:p>
        </w:tc>
        <w:tc>
          <w:tcPr>
            <w:tcW w:w="1644" w:type="dxa"/>
          </w:tcPr>
          <w:p w:rsidR="00991D45" w:rsidRPr="00991D45" w:rsidRDefault="00991D45" w:rsidP="0094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b/>
                <w:sz w:val="24"/>
                <w:szCs w:val="24"/>
              </w:rPr>
              <w:t>Just right</w:t>
            </w:r>
          </w:p>
        </w:tc>
        <w:tc>
          <w:tcPr>
            <w:tcW w:w="1644" w:type="dxa"/>
          </w:tcPr>
          <w:p w:rsidR="00991D45" w:rsidRPr="00991D45" w:rsidRDefault="00991D45" w:rsidP="0094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Too many </w:t>
            </w:r>
          </w:p>
        </w:tc>
        <w:tc>
          <w:tcPr>
            <w:tcW w:w="1247" w:type="dxa"/>
          </w:tcPr>
          <w:p w:rsidR="00991D45" w:rsidRPr="00991D45" w:rsidRDefault="00991D45" w:rsidP="0094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JAMA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7.1% (158)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53% (1179)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40% (903)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2240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PLOS ONE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9.9% (2513)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53% (13490)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37% (9295)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25298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BMJ Open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7.5% (412)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54% (2990)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38% (2102)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5504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MJA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9.2% (27)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56% (164)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35% (102)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293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EHP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14% (33)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56% (135)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30% (72)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HIV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22% (76)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56% (192)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21% (72)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340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BMJ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8.6% (68)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57% (448)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35% (273)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789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NEJM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8.3% (94)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57% (647)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34% (387)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1128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P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24% (51)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59% (124)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17% (36)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O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36% (506)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59% (821)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4.5% (62)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1389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F1000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12% (36)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59% (177)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29% (85)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D&amp;E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21% (73)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60% (211)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19% (68)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352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RM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29% (83)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61% (178)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10% (29)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GH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15% (59)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63% (249)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23% (90)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398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PLOS Med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11% (112)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63% (665)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27% (282)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1059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PH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11% (23)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64% (136)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25% (54)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21% (279)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65% (846)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14% (180)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1305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H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27% (112)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66% (269)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6.8% (28)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409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ID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19% (120)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68% (423)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13% (82)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625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N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22% (46)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70% (146)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7.7% (16)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G&amp;H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21% (87)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70% (287)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8.3% (34)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408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13% (12)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77% (71)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9.8% (9)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</w:tr>
      <w:tr w:rsidR="00991D45" w:rsidRPr="00991D45" w:rsidTr="00991D45">
        <w:tc>
          <w:tcPr>
            <w:tcW w:w="1803" w:type="dxa"/>
          </w:tcPr>
          <w:p w:rsidR="00991D45" w:rsidRPr="00991D45" w:rsidRDefault="00991D45" w:rsidP="00991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Lancet, Planet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3.3% (1)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80% (24)</w:t>
            </w:r>
          </w:p>
        </w:tc>
        <w:tc>
          <w:tcPr>
            <w:tcW w:w="1644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17% (5)</w:t>
            </w:r>
          </w:p>
        </w:tc>
        <w:tc>
          <w:tcPr>
            <w:tcW w:w="1247" w:type="dxa"/>
          </w:tcPr>
          <w:p w:rsidR="00991D45" w:rsidRPr="00991D45" w:rsidRDefault="00991D45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5F77" w:rsidRPr="00AE5381" w:rsidRDefault="00A65F77" w:rsidP="00A65F77">
      <w:pPr>
        <w:rPr>
          <w:rFonts w:ascii="Times New Roman" w:hAnsi="Times New Roman" w:cs="Times New Roman"/>
          <w:sz w:val="24"/>
          <w:szCs w:val="24"/>
        </w:rPr>
      </w:pPr>
    </w:p>
    <w:sectPr w:rsidR="00A65F77" w:rsidRPr="00AE5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81"/>
    <w:rsid w:val="000E09A9"/>
    <w:rsid w:val="001A3D7A"/>
    <w:rsid w:val="00757D0B"/>
    <w:rsid w:val="00991D45"/>
    <w:rsid w:val="00A65F77"/>
    <w:rsid w:val="00AE5381"/>
    <w:rsid w:val="00C30E69"/>
    <w:rsid w:val="00C66568"/>
    <w:rsid w:val="00D755FE"/>
    <w:rsid w:val="00E04CC3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24FD1-163C-40C3-A785-E9D41EA9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757D0B"/>
    <w:pPr>
      <w:spacing w:before="36" w:after="36" w:line="240" w:lineRule="auto"/>
    </w:pPr>
    <w:rPr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qFormat/>
    <w:rsid w:val="00757D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7D0B"/>
  </w:style>
  <w:style w:type="table" w:styleId="TableGrid">
    <w:name w:val="Table Grid"/>
    <w:basedOn w:val="TableNormal"/>
    <w:uiPriority w:val="39"/>
    <w:rsid w:val="00AE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88767857.dotm</Template>
  <TotalTime>118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Barnett</dc:creator>
  <cp:keywords/>
  <dc:description/>
  <cp:lastModifiedBy>Adrian Barnett</cp:lastModifiedBy>
  <cp:revision>4</cp:revision>
  <dcterms:created xsi:type="dcterms:W3CDTF">2018-03-27T03:21:00Z</dcterms:created>
  <dcterms:modified xsi:type="dcterms:W3CDTF">2018-04-01T10:15:00Z</dcterms:modified>
</cp:coreProperties>
</file>