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15" w:rsidRDefault="007234CF" w:rsidP="007234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>Appendix I</w:t>
      </w:r>
      <w:r w:rsidR="001C5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BEA" w:rsidRDefault="00553BEA" w:rsidP="007234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:rsidR="00933361" w:rsidRPr="001C5F15" w:rsidRDefault="00933361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5F15">
        <w:rPr>
          <w:rFonts w:ascii="Times New Roman" w:hAnsi="Times New Roman" w:cs="Times New Roman"/>
          <w:sz w:val="24"/>
          <w:szCs w:val="24"/>
        </w:rPr>
        <w:t>Summary of recommendations and an algorithm for the use of H</w:t>
      </w:r>
      <w:r w:rsidR="00F27A3F" w:rsidRPr="001C5F15">
        <w:rPr>
          <w:rFonts w:ascii="Times New Roman" w:hAnsi="Times New Roman" w:cs="Times New Roman"/>
          <w:sz w:val="24"/>
          <w:szCs w:val="24"/>
        </w:rPr>
        <w:t>C</w:t>
      </w:r>
      <w:r w:rsidRPr="001C5F15">
        <w:rPr>
          <w:rFonts w:ascii="Times New Roman" w:hAnsi="Times New Roman" w:cs="Times New Roman"/>
          <w:sz w:val="24"/>
          <w:szCs w:val="24"/>
        </w:rPr>
        <w:t xml:space="preserve"> in adults and children with SCD from a British Society </w:t>
      </w:r>
      <w:r w:rsidR="00F83916" w:rsidRPr="001C5F15">
        <w:rPr>
          <w:rFonts w:ascii="Times New Roman" w:hAnsi="Times New Roman" w:cs="Times New Roman"/>
          <w:sz w:val="24"/>
          <w:szCs w:val="24"/>
        </w:rPr>
        <w:t>f</w:t>
      </w:r>
      <w:r w:rsidRPr="001C5F15">
        <w:rPr>
          <w:rFonts w:ascii="Times New Roman" w:hAnsi="Times New Roman" w:cs="Times New Roman"/>
          <w:sz w:val="24"/>
          <w:szCs w:val="24"/>
        </w:rPr>
        <w:t>or Haematolo</w:t>
      </w:r>
      <w:r w:rsidR="00495E4F" w:rsidRPr="001C5F15">
        <w:rPr>
          <w:rFonts w:ascii="Times New Roman" w:hAnsi="Times New Roman" w:cs="Times New Roman"/>
          <w:sz w:val="24"/>
          <w:szCs w:val="24"/>
        </w:rPr>
        <w:t>g</w:t>
      </w:r>
      <w:r w:rsidRPr="001C5F15">
        <w:rPr>
          <w:rFonts w:ascii="Times New Roman" w:hAnsi="Times New Roman" w:cs="Times New Roman"/>
          <w:sz w:val="24"/>
          <w:szCs w:val="24"/>
        </w:rPr>
        <w:t>y guideline</w:t>
      </w:r>
      <w:r w:rsidR="00645268">
        <w:rPr>
          <w:rFonts w:ascii="Times New Roman" w:hAnsi="Times New Roman" w:cs="Times New Roman"/>
          <w:sz w:val="24"/>
          <w:szCs w:val="24"/>
        </w:rPr>
        <w:t>.</w:t>
      </w:r>
    </w:p>
    <w:p w:rsidR="001C5F15" w:rsidRDefault="001C5F15" w:rsidP="007234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53BEA" w:rsidRPr="001C5F15" w:rsidRDefault="00553BEA" w:rsidP="007234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5F15">
        <w:rPr>
          <w:rFonts w:ascii="Times New Roman" w:hAnsi="Times New Roman" w:cs="Times New Roman"/>
          <w:b/>
          <w:sz w:val="24"/>
          <w:szCs w:val="24"/>
        </w:rPr>
        <w:t>Legend</w:t>
      </w:r>
      <w:bookmarkStart w:id="0" w:name="_GoBack"/>
      <w:bookmarkEnd w:id="0"/>
    </w:p>
    <w:p w:rsidR="00553BEA" w:rsidRPr="001C5F15" w:rsidRDefault="00553BEA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C5F15">
        <w:rPr>
          <w:rFonts w:ascii="Times New Roman" w:hAnsi="Times New Roman" w:cs="Times New Roman"/>
          <w:sz w:val="24"/>
          <w:szCs w:val="24"/>
        </w:rPr>
        <w:t xml:space="preserve">Based on review of </w:t>
      </w:r>
      <w:r w:rsidR="001D05AB" w:rsidRPr="001C5F15">
        <w:rPr>
          <w:rFonts w:ascii="Times New Roman" w:hAnsi="Times New Roman" w:cs="Times New Roman"/>
          <w:sz w:val="24"/>
          <w:szCs w:val="24"/>
        </w:rPr>
        <w:t>current</w:t>
      </w:r>
      <w:r w:rsidRPr="001C5F15">
        <w:rPr>
          <w:rFonts w:ascii="Times New Roman" w:hAnsi="Times New Roman" w:cs="Times New Roman"/>
          <w:sz w:val="24"/>
          <w:szCs w:val="24"/>
        </w:rPr>
        <w:t xml:space="preserve"> evidence, this guideline provides graded recommendations on indications for initiating </w:t>
      </w:r>
      <w:r w:rsidR="0006262B" w:rsidRPr="001C5F15">
        <w:rPr>
          <w:rFonts w:ascii="Times New Roman" w:hAnsi="Times New Roman" w:cs="Times New Roman"/>
          <w:sz w:val="24"/>
          <w:szCs w:val="24"/>
        </w:rPr>
        <w:t>H</w:t>
      </w:r>
      <w:r w:rsidR="00F27A3F" w:rsidRPr="001C5F15">
        <w:rPr>
          <w:rFonts w:ascii="Times New Roman" w:hAnsi="Times New Roman" w:cs="Times New Roman"/>
          <w:sz w:val="24"/>
          <w:szCs w:val="24"/>
        </w:rPr>
        <w:t>C</w:t>
      </w:r>
      <w:r w:rsidR="0006262B" w:rsidRPr="001C5F15">
        <w:rPr>
          <w:rFonts w:ascii="Times New Roman" w:hAnsi="Times New Roman" w:cs="Times New Roman"/>
          <w:sz w:val="24"/>
          <w:szCs w:val="24"/>
        </w:rPr>
        <w:t xml:space="preserve"> as</w:t>
      </w:r>
      <w:r w:rsidRPr="001C5F15">
        <w:rPr>
          <w:rFonts w:ascii="Times New Roman" w:hAnsi="Times New Roman" w:cs="Times New Roman"/>
          <w:sz w:val="24"/>
          <w:szCs w:val="24"/>
        </w:rPr>
        <w:t xml:space="preserve"> well as monitoring of </w:t>
      </w:r>
      <w:r w:rsidR="00495E4F" w:rsidRPr="001C5F15">
        <w:rPr>
          <w:rFonts w:ascii="Times New Roman" w:hAnsi="Times New Roman" w:cs="Times New Roman"/>
          <w:sz w:val="24"/>
          <w:szCs w:val="24"/>
        </w:rPr>
        <w:t>effectiveness</w:t>
      </w:r>
      <w:r w:rsidRPr="001C5F15">
        <w:rPr>
          <w:rFonts w:ascii="Times New Roman" w:hAnsi="Times New Roman" w:cs="Times New Roman"/>
          <w:sz w:val="24"/>
          <w:szCs w:val="24"/>
        </w:rPr>
        <w:t xml:space="preserve"> and toxicity. It aims to provide a platform for joint clinician </w:t>
      </w:r>
      <w:r w:rsidR="0006262B" w:rsidRPr="001C5F15">
        <w:rPr>
          <w:rFonts w:ascii="Times New Roman" w:hAnsi="Times New Roman" w:cs="Times New Roman"/>
          <w:sz w:val="24"/>
          <w:szCs w:val="24"/>
        </w:rPr>
        <w:t>and patient</w:t>
      </w:r>
      <w:r w:rsidRPr="001C5F15">
        <w:rPr>
          <w:rFonts w:ascii="Times New Roman" w:hAnsi="Times New Roman" w:cs="Times New Roman"/>
          <w:sz w:val="24"/>
          <w:szCs w:val="24"/>
        </w:rPr>
        <w:t xml:space="preserve"> </w:t>
      </w:r>
      <w:r w:rsidR="00495E4F" w:rsidRPr="001C5F15">
        <w:rPr>
          <w:rFonts w:ascii="Times New Roman" w:hAnsi="Times New Roman" w:cs="Times New Roman"/>
          <w:sz w:val="24"/>
          <w:szCs w:val="24"/>
        </w:rPr>
        <w:t>decision</w:t>
      </w:r>
      <w:r w:rsidRPr="001C5F15">
        <w:rPr>
          <w:rFonts w:ascii="Times New Roman" w:hAnsi="Times New Roman" w:cs="Times New Roman"/>
          <w:sz w:val="24"/>
          <w:szCs w:val="24"/>
        </w:rPr>
        <w:t xml:space="preserve"> making as well as improve equity of access. </w:t>
      </w:r>
    </w:p>
    <w:p w:rsidR="00933361" w:rsidRDefault="00933361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Pr="00EB57AC" w:rsidRDefault="007234CF" w:rsidP="007234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34CF" w:rsidRPr="00EB57AC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b/>
          <w:sz w:val="24"/>
          <w:szCs w:val="24"/>
        </w:rPr>
        <w:t xml:space="preserve">Recommendations </w:t>
      </w:r>
    </w:p>
    <w:p w:rsidR="007234CF" w:rsidRPr="00EB57AC" w:rsidRDefault="007234CF" w:rsidP="007234CF">
      <w:pPr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>In infants 9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B57AC">
        <w:rPr>
          <w:rFonts w:ascii="Times New Roman" w:hAnsi="Times New Roman" w:cs="Times New Roman"/>
          <w:sz w:val="24"/>
          <w:szCs w:val="24"/>
        </w:rPr>
        <w:t xml:space="preserve">42 months </w:t>
      </w: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Pr="00EB57AC">
        <w:rPr>
          <w:rFonts w:ascii="Times New Roman" w:hAnsi="Times New Roman" w:cs="Times New Roman"/>
          <w:sz w:val="24"/>
          <w:szCs w:val="24"/>
        </w:rPr>
        <w:t xml:space="preserve">with </w:t>
      </w:r>
      <w:r w:rsidRPr="009943E7">
        <w:rPr>
          <w:rStyle w:val="CharChar"/>
          <w:rFonts w:ascii="Times New Roman" w:hAnsi="Times New Roman" w:cs="Times New Roman"/>
          <w:sz w:val="24"/>
          <w:szCs w:val="24"/>
        </w:rPr>
        <w:t>sickle cell anaemia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57AC">
        <w:rPr>
          <w:rFonts w:ascii="Times New Roman" w:hAnsi="Times New Roman" w:cs="Times New Roman"/>
          <w:sz w:val="24"/>
          <w:szCs w:val="24"/>
        </w:rPr>
        <w:t>SCA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EB57AC">
        <w:rPr>
          <w:rFonts w:ascii="Times New Roman" w:hAnsi="Times New Roman" w:cs="Times New Roman"/>
          <w:sz w:val="24"/>
          <w:szCs w:val="24"/>
        </w:rPr>
        <w:t xml:space="preserve"> offer treatment regardless of clinical severity to reduce sickle cell complications (pain, dactylitis,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4FA7">
        <w:rPr>
          <w:rFonts w:ascii="Times New Roman" w:hAnsi="Times New Roman" w:cs="Times New Roman"/>
          <w:sz w:val="24"/>
          <w:szCs w:val="24"/>
        </w:rPr>
        <w:t xml:space="preserve">cute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4FA7">
        <w:rPr>
          <w:rFonts w:ascii="Times New Roman" w:hAnsi="Times New Roman" w:cs="Times New Roman"/>
          <w:sz w:val="24"/>
          <w:szCs w:val="24"/>
        </w:rPr>
        <w:t xml:space="preserve">hest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4FA7">
        <w:rPr>
          <w:rFonts w:ascii="Times New Roman" w:hAnsi="Times New Roman" w:cs="Times New Roman"/>
          <w:sz w:val="24"/>
          <w:szCs w:val="24"/>
        </w:rPr>
        <w:t>yndrome</w:t>
      </w:r>
      <w:r w:rsidRPr="00EB5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B57AC">
        <w:rPr>
          <w:rFonts w:ascii="Times New Roman" w:hAnsi="Times New Roman" w:cs="Times New Roman"/>
          <w:sz w:val="24"/>
          <w:szCs w:val="24"/>
        </w:rPr>
        <w:t>anaemia)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1A)</w:t>
      </w:r>
    </w:p>
    <w:p w:rsidR="007234CF" w:rsidRPr="00EB57AC" w:rsidRDefault="007234CF" w:rsidP="007234CF">
      <w:pPr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In children </w:t>
      </w:r>
      <w:r>
        <w:rPr>
          <w:rFonts w:ascii="Times New Roman" w:hAnsi="Times New Roman" w:cs="Times New Roman"/>
          <w:sz w:val="24"/>
          <w:szCs w:val="24"/>
        </w:rPr>
        <w:t xml:space="preserve">older than </w:t>
      </w:r>
      <w:r w:rsidRPr="00EB57AC">
        <w:rPr>
          <w:rFonts w:ascii="Times New Roman" w:hAnsi="Times New Roman" w:cs="Times New Roman"/>
          <w:sz w:val="24"/>
          <w:szCs w:val="24"/>
        </w:rPr>
        <w:t>42 months, adolescents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and adults with SCA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consider treatment regardless of clinical severity to reduce sickle cell complications (pain, dactylitis,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4FA7">
        <w:rPr>
          <w:rFonts w:ascii="Times New Roman" w:hAnsi="Times New Roman" w:cs="Times New Roman"/>
          <w:sz w:val="24"/>
          <w:szCs w:val="24"/>
        </w:rPr>
        <w:t xml:space="preserve">cute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4FA7">
        <w:rPr>
          <w:rFonts w:ascii="Times New Roman" w:hAnsi="Times New Roman" w:cs="Times New Roman"/>
          <w:sz w:val="24"/>
          <w:szCs w:val="24"/>
        </w:rPr>
        <w:t xml:space="preserve">hest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4FA7">
        <w:rPr>
          <w:rFonts w:ascii="Times New Roman" w:hAnsi="Times New Roman" w:cs="Times New Roman"/>
          <w:sz w:val="24"/>
          <w:szCs w:val="24"/>
        </w:rPr>
        <w:t>yndrome</w:t>
      </w:r>
      <w:r w:rsidRPr="00EB5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B57AC">
        <w:rPr>
          <w:rFonts w:ascii="Times New Roman" w:hAnsi="Times New Roman" w:cs="Times New Roman"/>
          <w:sz w:val="24"/>
          <w:szCs w:val="24"/>
        </w:rPr>
        <w:t>anaemia)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2C)</w:t>
      </w:r>
    </w:p>
    <w:p w:rsidR="007234CF" w:rsidRPr="00EB57AC" w:rsidRDefault="007234CF" w:rsidP="007234CF">
      <w:pPr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The benefits of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should be discussed with all parents of children, adolescents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and adults with SCA to enable informed joint decision making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and there should be ongoing discussion between provider and patient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1D)</w:t>
      </w:r>
    </w:p>
    <w:p w:rsidR="007234CF" w:rsidRPr="00EB57AC" w:rsidRDefault="007234CF" w:rsidP="007234CF">
      <w:pPr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lastRenderedPageBreak/>
        <w:t xml:space="preserve">Children who have started regular blood transfusions for abnormal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A0791">
        <w:rPr>
          <w:rFonts w:ascii="Times New Roman" w:hAnsi="Times New Roman" w:cs="Times New Roman"/>
          <w:sz w:val="24"/>
          <w:szCs w:val="24"/>
        </w:rPr>
        <w:t xml:space="preserve">ranscranial Doppler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57AC">
        <w:rPr>
          <w:rFonts w:ascii="Times New Roman" w:hAnsi="Times New Roman" w:cs="Times New Roman"/>
          <w:sz w:val="24"/>
          <w:szCs w:val="24"/>
        </w:rPr>
        <w:t>TCD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57AC">
        <w:rPr>
          <w:rFonts w:ascii="Times New Roman" w:hAnsi="Times New Roman" w:cs="Times New Roman"/>
          <w:sz w:val="24"/>
          <w:szCs w:val="24"/>
        </w:rPr>
        <w:t xml:space="preserve"> should be considered for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 (with or without venesection) if they have received at least 1 year of regular transfusions and have no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5765">
        <w:rPr>
          <w:rFonts w:ascii="Times New Roman" w:hAnsi="Times New Roman" w:cs="Times New Roman"/>
          <w:sz w:val="24"/>
          <w:szCs w:val="24"/>
        </w:rPr>
        <w:t xml:space="preserve">agnetic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05765">
        <w:rPr>
          <w:rFonts w:ascii="Times New Roman" w:hAnsi="Times New Roman" w:cs="Times New Roman"/>
          <w:sz w:val="24"/>
          <w:szCs w:val="24"/>
        </w:rPr>
        <w:t xml:space="preserve">esonance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5765">
        <w:rPr>
          <w:rFonts w:ascii="Times New Roman" w:hAnsi="Times New Roman" w:cs="Times New Roman"/>
          <w:sz w:val="24"/>
          <w:szCs w:val="24"/>
        </w:rPr>
        <w:t xml:space="preserve">ngiography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57AC">
        <w:rPr>
          <w:rFonts w:ascii="Times New Roman" w:hAnsi="Times New Roman" w:cs="Times New Roman"/>
          <w:sz w:val="24"/>
          <w:szCs w:val="24"/>
        </w:rPr>
        <w:t>MRA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57AC">
        <w:rPr>
          <w:rFonts w:ascii="Times New Roman" w:hAnsi="Times New Roman" w:cs="Times New Roman"/>
          <w:sz w:val="24"/>
          <w:szCs w:val="24"/>
        </w:rPr>
        <w:t>-defined severe vasculopathy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1A)</w:t>
      </w:r>
    </w:p>
    <w:p w:rsidR="007234CF" w:rsidRPr="00EB57AC" w:rsidRDefault="007234CF" w:rsidP="007234CF">
      <w:pPr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In children who are treated for primary stroke prevention who are changing from regular blood transfusions to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therapy, transfusion should be continued until they have reached maximum tolerated dose of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and TCD velocities should be monitored every 3 months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1C)</w:t>
      </w:r>
    </w:p>
    <w:p w:rsidR="007234CF" w:rsidRPr="00EB57AC" w:rsidRDefault="007234CF" w:rsidP="007234CF">
      <w:pPr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Children with TCD velocities in the range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EB57AC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B57AC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AC">
        <w:rPr>
          <w:rFonts w:ascii="Times New Roman" w:hAnsi="Times New Roman" w:cs="Times New Roman"/>
          <w:sz w:val="24"/>
          <w:szCs w:val="24"/>
        </w:rPr>
        <w:t xml:space="preserve">cm/s (conditional risk category) should be treated with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 to help prevent progression from conditional to abnormal TCD velocity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1B)</w:t>
      </w:r>
    </w:p>
    <w:p w:rsidR="007234CF" w:rsidRPr="00EB57AC" w:rsidRDefault="007234CF" w:rsidP="007234CF">
      <w:pPr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When treating children with conditional TCD velocities with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, the dose should be escalated to maximum tolerated dose and TCD velocities should be monitored every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57AC">
        <w:rPr>
          <w:rFonts w:ascii="Times New Roman" w:hAnsi="Times New Roman" w:cs="Times New Roman"/>
          <w:sz w:val="24"/>
          <w:szCs w:val="24"/>
        </w:rPr>
        <w:t xml:space="preserve"> months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1C)</w:t>
      </w:r>
    </w:p>
    <w:p w:rsidR="007234CF" w:rsidRPr="00EB57AC" w:rsidRDefault="007234CF" w:rsidP="007234CF">
      <w:pPr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In children and adults with a history of acute ischaemic stroke or silent infarcts,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should be recommended as second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57AC">
        <w:rPr>
          <w:rFonts w:ascii="Times New Roman" w:hAnsi="Times New Roman" w:cs="Times New Roman"/>
          <w:sz w:val="24"/>
          <w:szCs w:val="24"/>
        </w:rPr>
        <w:t>line therapy for secondary stroke prevention when transfusions are contraindicated or unavailable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1B)</w:t>
      </w:r>
    </w:p>
    <w:p w:rsidR="007234CF" w:rsidRPr="00EB57AC" w:rsidRDefault="007234CF" w:rsidP="007234CF">
      <w:pPr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EB57AC">
        <w:rPr>
          <w:rFonts w:ascii="Times New Roman" w:hAnsi="Times New Roman" w:cs="Times New Roman"/>
          <w:sz w:val="24"/>
          <w:szCs w:val="24"/>
        </w:rPr>
        <w:t xml:space="preserve"> insufficient data to advise commencing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 for primary stroke prevention in adults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1D)</w:t>
      </w:r>
    </w:p>
    <w:p w:rsidR="007234CF" w:rsidRPr="00EB57AC" w:rsidRDefault="007234CF" w:rsidP="007234CF">
      <w:pPr>
        <w:numPr>
          <w:ilvl w:val="0"/>
          <w:numId w:val="3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In patients with sickle </w:t>
      </w: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Pr="00EB57AC">
        <w:rPr>
          <w:rFonts w:ascii="Times New Roman" w:hAnsi="Times New Roman" w:cs="Times New Roman"/>
          <w:sz w:val="24"/>
          <w:szCs w:val="24"/>
        </w:rPr>
        <w:t xml:space="preserve">nephropathy with persisting proteinuria despite </w:t>
      </w:r>
      <w:r w:rsidRPr="001F2524">
        <w:rPr>
          <w:rFonts w:ascii="Times New Roman" w:hAnsi="Times New Roman" w:cs="Times New Roman"/>
          <w:sz w:val="24"/>
          <w:szCs w:val="24"/>
        </w:rPr>
        <w:t>angiotensin-converting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524">
        <w:rPr>
          <w:rFonts w:ascii="Times New Roman" w:hAnsi="Times New Roman" w:cs="Times New Roman"/>
          <w:sz w:val="24"/>
          <w:szCs w:val="24"/>
        </w:rPr>
        <w:t>enzyme inhibitor</w:t>
      </w:r>
      <w:r w:rsidRPr="00EB5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57AC">
        <w:rPr>
          <w:rFonts w:ascii="Times New Roman" w:hAnsi="Times New Roman" w:cs="Times New Roman"/>
          <w:sz w:val="24"/>
          <w:szCs w:val="24"/>
        </w:rPr>
        <w:t>ngiotensin receptor blocker therapy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consider the addition of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2C)</w:t>
      </w:r>
    </w:p>
    <w:p w:rsidR="007234CF" w:rsidRPr="00EB57AC" w:rsidRDefault="007234CF" w:rsidP="007234CF">
      <w:pPr>
        <w:numPr>
          <w:ilvl w:val="0"/>
          <w:numId w:val="3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lastRenderedPageBreak/>
        <w:t>Disease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57AC">
        <w:rPr>
          <w:rFonts w:ascii="Times New Roman" w:hAnsi="Times New Roman" w:cs="Times New Roman"/>
          <w:sz w:val="24"/>
          <w:szCs w:val="24"/>
        </w:rPr>
        <w:t>modifying treatments (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or transfusion) should be considered in patients with SCA and pulmonary hypertension and in children with chronic hypoxia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2C)</w:t>
      </w:r>
    </w:p>
    <w:p w:rsidR="007234CF" w:rsidRPr="00EB57AC" w:rsidRDefault="007234CF" w:rsidP="007234CF">
      <w:pPr>
        <w:numPr>
          <w:ilvl w:val="0"/>
          <w:numId w:val="3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In adults (and children) with SCA and symptomatic chronic anaemia that interferes with daily activities or quality of life, treat with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1C)</w:t>
      </w:r>
    </w:p>
    <w:p w:rsidR="007234CF" w:rsidRPr="00EB57AC" w:rsidRDefault="007234CF" w:rsidP="007234CF">
      <w:pPr>
        <w:numPr>
          <w:ilvl w:val="0"/>
          <w:numId w:val="3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 xml:space="preserve">There is insufficient evidence to recommend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B57AC">
        <w:rPr>
          <w:rFonts w:ascii="Times New Roman" w:hAnsi="Times New Roman" w:cs="Times New Roman"/>
          <w:sz w:val="24"/>
          <w:szCs w:val="24"/>
        </w:rPr>
        <w:t>prevention or treatment of other chronic disease complications, but its potential risks and benefits should be discussed with the patient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1D)</w:t>
      </w:r>
    </w:p>
    <w:p w:rsidR="007234CF" w:rsidRPr="00EB57AC" w:rsidRDefault="007234CF" w:rsidP="007234CF">
      <w:pPr>
        <w:numPr>
          <w:ilvl w:val="0"/>
          <w:numId w:val="4"/>
        </w:num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 should be considered in adults and children with sickle cell disease</w:t>
      </w:r>
      <w:r w:rsidRPr="00254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57AC">
        <w:rPr>
          <w:rFonts w:ascii="Times New Roman" w:hAnsi="Times New Roman" w:cs="Times New Roman"/>
          <w:sz w:val="24"/>
          <w:szCs w:val="24"/>
        </w:rPr>
        <w:t>SCD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57AC">
        <w:rPr>
          <w:rFonts w:ascii="Times New Roman" w:hAnsi="Times New Roman" w:cs="Times New Roman"/>
          <w:sz w:val="24"/>
          <w:szCs w:val="24"/>
        </w:rPr>
        <w:t xml:space="preserve"> with genotypes other tha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B57AC">
        <w:rPr>
          <w:rFonts w:ascii="Times New Roman" w:hAnsi="Times New Roman" w:cs="Times New Roman"/>
          <w:sz w:val="24"/>
          <w:szCs w:val="24"/>
        </w:rPr>
        <w:t xml:space="preserve"> SS and Sβ</w:t>
      </w:r>
      <w:r w:rsidRPr="00EB57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thalassaemia who have recurrent acute pain, acute chest syndrome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or episodes of hospitalisation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2C)</w:t>
      </w:r>
    </w:p>
    <w:p w:rsidR="007234CF" w:rsidRPr="00EB57AC" w:rsidRDefault="007234CF" w:rsidP="007234CF">
      <w:pPr>
        <w:pStyle w:val="ColorfulList-Accent11"/>
        <w:numPr>
          <w:ilvl w:val="0"/>
          <w:numId w:val="4"/>
        </w:numPr>
        <w:spacing w:after="0" w:line="48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EB57AC">
        <w:rPr>
          <w:rFonts w:ascii="Times New Roman" w:hAnsi="Times New Roman"/>
          <w:sz w:val="24"/>
          <w:szCs w:val="24"/>
        </w:rPr>
        <w:t xml:space="preserve">Post-pubertal male patients should be offered sperm analysis and cryopreservation prior to starting treatment with </w:t>
      </w:r>
      <w:r>
        <w:rPr>
          <w:rFonts w:ascii="Times New Roman" w:hAnsi="Times New Roman"/>
          <w:sz w:val="24"/>
          <w:szCs w:val="24"/>
        </w:rPr>
        <w:t>hydroxycarbamide</w:t>
      </w:r>
      <w:r w:rsidRPr="00EB57AC">
        <w:rPr>
          <w:rFonts w:ascii="Times New Roman" w:hAnsi="Times New Roman"/>
          <w:sz w:val="24"/>
          <w:szCs w:val="24"/>
        </w:rPr>
        <w:t xml:space="preserve"> (</w:t>
      </w:r>
      <w:r w:rsidRPr="00144FA7">
        <w:rPr>
          <w:rFonts w:ascii="Times New Roman" w:hAnsi="Times New Roman"/>
          <w:sz w:val="24"/>
          <w:szCs w:val="24"/>
        </w:rPr>
        <w:t>grade</w:t>
      </w:r>
      <w:r w:rsidRPr="00EB57AC">
        <w:rPr>
          <w:rFonts w:ascii="Times New Roman" w:hAnsi="Times New Roman"/>
          <w:sz w:val="24"/>
          <w:szCs w:val="24"/>
        </w:rPr>
        <w:t xml:space="preserve"> 1C)</w:t>
      </w:r>
    </w:p>
    <w:p w:rsidR="007234CF" w:rsidRPr="00EB57AC" w:rsidRDefault="007234CF" w:rsidP="007234CF">
      <w:pPr>
        <w:pStyle w:val="ColorfulList-Accent11"/>
        <w:numPr>
          <w:ilvl w:val="0"/>
          <w:numId w:val="4"/>
        </w:numPr>
        <w:spacing w:after="0" w:line="480" w:lineRule="auto"/>
        <w:ind w:hanging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Hydroxycarbamide</w:t>
      </w:r>
      <w:r w:rsidRPr="00EB57AC">
        <w:rPr>
          <w:rFonts w:ascii="Times New Roman" w:hAnsi="Times New Roman"/>
          <w:sz w:val="24"/>
          <w:szCs w:val="24"/>
        </w:rPr>
        <w:t xml:space="preserve"> should be discontinued for at least 3 months pre-conception in male and female patients (</w:t>
      </w:r>
      <w:r w:rsidRPr="00144FA7">
        <w:rPr>
          <w:rFonts w:ascii="Times New Roman" w:hAnsi="Times New Roman"/>
          <w:sz w:val="24"/>
          <w:szCs w:val="24"/>
        </w:rPr>
        <w:t>grade</w:t>
      </w:r>
      <w:r w:rsidRPr="00EB57AC">
        <w:rPr>
          <w:rFonts w:ascii="Times New Roman" w:hAnsi="Times New Roman"/>
          <w:sz w:val="24"/>
          <w:szCs w:val="24"/>
        </w:rPr>
        <w:t xml:space="preserve"> 1C)</w:t>
      </w:r>
    </w:p>
    <w:p w:rsidR="007234CF" w:rsidRPr="00EB57AC" w:rsidRDefault="007234CF" w:rsidP="007234CF">
      <w:pPr>
        <w:pStyle w:val="ColorfulList-Accent11"/>
        <w:numPr>
          <w:ilvl w:val="0"/>
          <w:numId w:val="4"/>
        </w:numPr>
        <w:spacing w:after="0" w:line="480" w:lineRule="auto"/>
        <w:ind w:hanging="720"/>
        <w:contextualSpacing w:val="0"/>
        <w:outlineLvl w:val="0"/>
        <w:rPr>
          <w:rFonts w:ascii="Times New Roman" w:hAnsi="Times New Roman"/>
          <w:sz w:val="24"/>
          <w:szCs w:val="24"/>
        </w:rPr>
      </w:pPr>
      <w:r w:rsidRPr="00EB57AC">
        <w:rPr>
          <w:rFonts w:ascii="Times New Roman" w:hAnsi="Times New Roman"/>
          <w:sz w:val="24"/>
          <w:szCs w:val="24"/>
        </w:rPr>
        <w:t xml:space="preserve">Contraception is advised for patients on </w:t>
      </w:r>
      <w:r>
        <w:rPr>
          <w:rFonts w:ascii="Times New Roman" w:hAnsi="Times New Roman"/>
          <w:sz w:val="24"/>
          <w:szCs w:val="24"/>
        </w:rPr>
        <w:t>hydroxycarbamide</w:t>
      </w:r>
      <w:r w:rsidRPr="00EB57AC">
        <w:rPr>
          <w:rFonts w:ascii="Times New Roman" w:hAnsi="Times New Roman"/>
          <w:sz w:val="24"/>
          <w:szCs w:val="24"/>
        </w:rPr>
        <w:t xml:space="preserve"> (</w:t>
      </w:r>
      <w:r w:rsidRPr="00144FA7">
        <w:rPr>
          <w:rFonts w:ascii="Times New Roman" w:hAnsi="Times New Roman"/>
          <w:sz w:val="24"/>
          <w:szCs w:val="24"/>
        </w:rPr>
        <w:t>grade</w:t>
      </w:r>
      <w:r w:rsidRPr="00EB57AC">
        <w:rPr>
          <w:rFonts w:ascii="Times New Roman" w:hAnsi="Times New Roman"/>
          <w:sz w:val="24"/>
          <w:szCs w:val="24"/>
        </w:rPr>
        <w:t xml:space="preserve"> 1C)</w:t>
      </w:r>
    </w:p>
    <w:p w:rsidR="007234CF" w:rsidRPr="00EB57AC" w:rsidRDefault="007234CF" w:rsidP="007234CF">
      <w:pPr>
        <w:numPr>
          <w:ilvl w:val="0"/>
          <w:numId w:val="4"/>
        </w:numPr>
        <w:spacing w:after="0" w:line="480" w:lineRule="auto"/>
        <w:ind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EB57AC">
        <w:rPr>
          <w:rFonts w:ascii="Times New Roman" w:hAnsi="Times New Roman" w:cs="Times New Roman"/>
          <w:sz w:val="24"/>
          <w:szCs w:val="24"/>
        </w:rPr>
        <w:t>Guidelines for the indications, initiation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AC">
        <w:rPr>
          <w:rFonts w:ascii="Times New Roman" w:hAnsi="Times New Roman" w:cs="Times New Roman"/>
          <w:sz w:val="24"/>
          <w:szCs w:val="24"/>
        </w:rPr>
        <w:t xml:space="preserve"> and monitoring of </w:t>
      </w:r>
      <w:r>
        <w:rPr>
          <w:rFonts w:ascii="Times New Roman" w:hAnsi="Times New Roman" w:cs="Times New Roman"/>
          <w:sz w:val="24"/>
          <w:szCs w:val="24"/>
        </w:rPr>
        <w:t>hydroxycarbamide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therapy should be available at all sites caring for patients with SCD (</w:t>
      </w:r>
      <w:r w:rsidRPr="00144FA7">
        <w:rPr>
          <w:rFonts w:ascii="Times New Roman" w:hAnsi="Times New Roman" w:cs="Times New Roman"/>
          <w:sz w:val="24"/>
          <w:szCs w:val="24"/>
        </w:rPr>
        <w:t>grade</w:t>
      </w:r>
      <w:r w:rsidRPr="00EB57AC">
        <w:rPr>
          <w:rFonts w:ascii="Times New Roman" w:hAnsi="Times New Roman" w:cs="Times New Roman"/>
          <w:sz w:val="24"/>
          <w:szCs w:val="24"/>
        </w:rPr>
        <w:t xml:space="preserve"> 1D)</w:t>
      </w:r>
    </w:p>
    <w:p w:rsidR="007234CF" w:rsidRDefault="007234CF" w:rsidP="007234CF">
      <w:pPr>
        <w:spacing w:after="0" w:line="480" w:lineRule="auto"/>
        <w:rPr>
          <w:rFonts w:ascii="Times New Roman" w:eastAsia="Wingdings-Regular" w:hAnsi="Times New Roman" w:cs="Times New Roman"/>
          <w:b/>
          <w:sz w:val="24"/>
          <w:szCs w:val="24"/>
          <w:u w:val="single"/>
          <w:lang w:eastAsia="en-GB"/>
        </w:rPr>
      </w:pPr>
    </w:p>
    <w:p w:rsidR="007234CF" w:rsidRDefault="007234CF" w:rsidP="007234CF">
      <w:pPr>
        <w:spacing w:after="0" w:line="480" w:lineRule="auto"/>
        <w:rPr>
          <w:rFonts w:ascii="Times New Roman" w:eastAsia="Wingdings-Regular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Wingdings-Regular" w:hAnsi="Times New Roman" w:cs="Times New Roman"/>
          <w:b/>
          <w:sz w:val="24"/>
          <w:szCs w:val="24"/>
          <w:u w:val="single"/>
          <w:lang w:eastAsia="en-GB"/>
        </w:rPr>
        <w:br w:type="page"/>
      </w:r>
    </w:p>
    <w:p w:rsidR="007234CF" w:rsidRPr="00EB57AC" w:rsidRDefault="007234CF" w:rsidP="007234CF">
      <w:pPr>
        <w:spacing w:after="0" w:line="480" w:lineRule="auto"/>
        <w:rPr>
          <w:rFonts w:ascii="Times New Roman" w:eastAsia="Wingdings-Regular" w:hAnsi="Times New Roman" w:cs="Times New Roman"/>
          <w:b/>
          <w:sz w:val="24"/>
          <w:szCs w:val="24"/>
          <w:lang w:eastAsia="en-GB"/>
        </w:rPr>
      </w:pPr>
      <w:r w:rsidRPr="00EB57AC">
        <w:rPr>
          <w:rFonts w:ascii="Times New Roman" w:eastAsia="Wingdings-Regular" w:hAnsi="Times New Roman" w:cs="Times New Roman"/>
          <w:b/>
          <w:sz w:val="24"/>
          <w:szCs w:val="24"/>
          <w:lang w:eastAsia="en-GB"/>
        </w:rPr>
        <w:lastRenderedPageBreak/>
        <w:t xml:space="preserve">Algorithm for </w:t>
      </w:r>
      <w:r>
        <w:rPr>
          <w:rFonts w:ascii="Times New Roman" w:eastAsia="Wingdings-Regular" w:hAnsi="Times New Roman" w:cs="Times New Roman"/>
          <w:b/>
          <w:sz w:val="24"/>
          <w:szCs w:val="24"/>
          <w:lang w:eastAsia="en-GB"/>
        </w:rPr>
        <w:t>hydroxycarbamide</w:t>
      </w:r>
      <w:r w:rsidRPr="00EB57AC">
        <w:rPr>
          <w:rFonts w:ascii="Times New Roman" w:eastAsia="Wingdings-Regular" w:hAnsi="Times New Roman" w:cs="Times New Roman"/>
          <w:b/>
          <w:sz w:val="24"/>
          <w:szCs w:val="24"/>
          <w:lang w:eastAsia="en-GB"/>
        </w:rPr>
        <w:t xml:space="preserve"> dosing and monitoring (UK </w:t>
      </w:r>
      <w:r w:rsidRPr="009D02D2">
        <w:rPr>
          <w:rFonts w:ascii="Times New Roman" w:eastAsia="Wingdings-Regular" w:hAnsi="Times New Roman" w:cs="Times New Roman"/>
          <w:b/>
          <w:sz w:val="24"/>
          <w:szCs w:val="24"/>
          <w:lang w:eastAsia="en-GB"/>
        </w:rPr>
        <w:t>British Committee for Standards in Haematology</w:t>
      </w:r>
      <w:r w:rsidRPr="00EB57AC">
        <w:rPr>
          <w:rFonts w:ascii="Times New Roman" w:eastAsia="Wingdings-Regular" w:hAnsi="Times New Roman" w:cs="Times New Roman"/>
          <w:b/>
          <w:sz w:val="24"/>
          <w:szCs w:val="24"/>
          <w:lang w:eastAsia="en-GB"/>
        </w:rPr>
        <w:t xml:space="preserve"> Guidelines)</w:t>
      </w: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00A9">
        <w:rPr>
          <w:rFonts w:eastAsia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F4C240" wp14:editId="42CCF162">
                <wp:simplePos x="0" y="0"/>
                <wp:positionH relativeFrom="column">
                  <wp:posOffset>-161925</wp:posOffset>
                </wp:positionH>
                <wp:positionV relativeFrom="paragraph">
                  <wp:posOffset>107619</wp:posOffset>
                </wp:positionV>
                <wp:extent cx="6238875" cy="7620000"/>
                <wp:effectExtent l="12700" t="12700" r="95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7620000"/>
                          <a:chOff x="0" y="0"/>
                          <a:chExt cx="6238875" cy="76200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133850" y="885825"/>
                            <a:ext cx="1990725" cy="4003675"/>
                            <a:chOff x="0" y="0"/>
                            <a:chExt cx="1990725" cy="4003675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57275"/>
                              <a:ext cx="1990725" cy="1057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4CF" w:rsidRPr="000272D0" w:rsidRDefault="007234CF" w:rsidP="007234CF">
                                <w:pPr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Neutrophils &gt;1 x 10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vertAlign w:val="superscript"/>
                                    <w:lang w:eastAsia="en-GB"/>
                                  </w:rPr>
                                  <w:t>9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 xml:space="preserve">/l </w:t>
                                </w:r>
                              </w:p>
                              <w:p w:rsidR="007234CF" w:rsidRPr="000272D0" w:rsidRDefault="007234CF" w:rsidP="007234CF">
                                <w:pPr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and/or platelets &gt;80 x 10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vertAlign w:val="superscript"/>
                                    <w:lang w:eastAsia="en-GB"/>
                                  </w:rPr>
                                  <w:t>9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/l</w:t>
                                </w:r>
                              </w:p>
                              <w:p w:rsidR="007234CF" w:rsidRDefault="007234CF" w:rsidP="007234CF">
                                <w:pPr>
                                  <w:rPr>
                                    <w:rFonts w:ascii="Arial" w:eastAsia="Wingdings-Regular" w:hAnsi="Arial" w:cs="Arial"/>
                                    <w:sz w:val="24"/>
                                    <w:szCs w:val="24"/>
                                    <w:lang w:eastAsia="en-GB"/>
                                  </w:rPr>
                                </w:pP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Monitor FBC monthly</w:t>
                                </w:r>
                                <w:r>
                                  <w:rPr>
                                    <w:rFonts w:ascii="Arial" w:eastAsia="Wingdings-Regular" w:hAnsi="Arial" w:cs="Arial"/>
                                    <w:sz w:val="24"/>
                                    <w:szCs w:val="24"/>
                                    <w:lang w:eastAsia="en-GB"/>
                                  </w:rPr>
                                  <w:t xml:space="preserve"> </w:t>
                                </w:r>
                              </w:p>
                              <w:p w:rsidR="007234CF" w:rsidRDefault="007234CF" w:rsidP="007234C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581275"/>
                              <a:ext cx="1828800" cy="971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4CF" w:rsidRPr="000272D0" w:rsidRDefault="007234CF" w:rsidP="007234CF">
                                <w:pPr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Neutrophils &gt; 1 x 10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vertAlign w:val="superscript"/>
                                    <w:lang w:eastAsia="en-GB"/>
                                  </w:rPr>
                                  <w:t>9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 xml:space="preserve">/l </w:t>
                                </w:r>
                              </w:p>
                              <w:p w:rsidR="007234CF" w:rsidRPr="000272D0" w:rsidRDefault="007234CF" w:rsidP="007234CF">
                                <w:pPr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and/or platelets &gt;80 x 10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vertAlign w:val="superscript"/>
                                    <w:lang w:eastAsia="en-GB"/>
                                  </w:rPr>
                                  <w:t>9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>/l</w:t>
                                </w:r>
                              </w:p>
                              <w:p w:rsidR="007234CF" w:rsidRPr="000272D0" w:rsidRDefault="007234CF" w:rsidP="007234C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 xml:space="preserve">sustained for </w:t>
                                </w:r>
                                <w:r w:rsidRPr="000272D0">
                                  <w:rPr>
                                    <w:rFonts w:ascii="Arial" w:eastAsia="Wingdings-Regular" w:hAnsi="Arial" w:cs="Arial"/>
                                    <w:sz w:val="20"/>
                                    <w:szCs w:val="20"/>
                                    <w:lang w:eastAsia="en-GB"/>
                                  </w:rPr>
                                  <w:t xml:space="preserve">8 weeks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57150" y="0"/>
                              <a:ext cx="815975" cy="1057275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942975" y="2114550"/>
                              <a:ext cx="28575" cy="466725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923925" y="3552825"/>
                              <a:ext cx="9525" cy="45085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238875" cy="7620000"/>
                            <a:chOff x="0" y="0"/>
                            <a:chExt cx="6238875" cy="7620000"/>
                          </a:xfrm>
                        </wpg:grpSpPr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25" y="6838950"/>
                              <a:ext cx="4991100" cy="78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4CF" w:rsidRPr="003C3306" w:rsidRDefault="007234CF" w:rsidP="007234CF">
                                <w:pPr>
                                  <w:pStyle w:val="NHLBIBodyBullet1black"/>
                                  <w:spacing w:line="360" w:lineRule="auto"/>
                                  <w:rPr>
                                    <w:rFonts w:ascii="Calibri" w:hAnsi="Calibri" w:cs="Arial"/>
                                    <w:szCs w:val="22"/>
                                  </w:rPr>
                                </w:pPr>
                                <w:r w:rsidRPr="003C3306">
                                  <w:rPr>
                                    <w:rFonts w:ascii="Calibri" w:hAnsi="Calibri" w:cs="Arial"/>
                                    <w:szCs w:val="22"/>
                                    <w:lang w:eastAsia="en-GB"/>
                                  </w:rPr>
                                  <w:t>Once a stable</w:t>
                                </w:r>
                                <w:r w:rsidRPr="003C3306">
                                  <w:rPr>
                                    <w:rFonts w:ascii="Calibri" w:hAnsi="Calibri" w:cs="Arial"/>
                                    <w:szCs w:val="22"/>
                                  </w:rPr>
                                  <w:t xml:space="preserve"> </w:t>
                                </w:r>
                                <w:r w:rsidRPr="003C3306">
                                  <w:rPr>
                                    <w:rFonts w:ascii="Calibri" w:hAnsi="Calibri" w:cs="Arial"/>
                                    <w:szCs w:val="22"/>
                                    <w:lang w:eastAsia="en-GB"/>
                                  </w:rPr>
                                  <w:t>dose is established, laboratory safety monitoring should include</w:t>
                                </w:r>
                                <w:r w:rsidRPr="003C3306">
                                  <w:rPr>
                                    <w:rFonts w:ascii="Calibri" w:hAnsi="Calibri" w:cs="Arial"/>
                                    <w:szCs w:val="22"/>
                                  </w:rPr>
                                  <w:t xml:space="preserve"> FBC and reticulocyte count every 2</w:t>
                                </w:r>
                                <w:r>
                                  <w:rPr>
                                    <w:rFonts w:ascii="Calibri" w:hAnsi="Calibri" w:cs="Arial"/>
                                    <w:szCs w:val="22"/>
                                  </w:rPr>
                                  <w:t>-3</w:t>
                                </w:r>
                                <w:r w:rsidRPr="003C3306">
                                  <w:rPr>
                                    <w:rFonts w:ascii="Calibri" w:hAnsi="Calibri" w:cs="Arial"/>
                                    <w:szCs w:val="22"/>
                                  </w:rPr>
                                  <w:t xml:space="preserve"> months. Follow above for dose modifications.</w:t>
                                </w:r>
                                <w:r>
                                  <w:rPr>
                                    <w:rFonts w:ascii="Calibri" w:hAnsi="Calibri" w:cs="Arial"/>
                                    <w:szCs w:val="22"/>
                                  </w:rPr>
                                  <w:t xml:space="preserve"> HbF and MCV can be used to monitor effect/compliance.</w:t>
                                </w:r>
                              </w:p>
                              <w:p w:rsidR="007234CF" w:rsidRPr="000373A9" w:rsidRDefault="007234CF" w:rsidP="007234CF">
                                <w:pPr>
                                  <w:pStyle w:val="NHLBIBodyBullet1black"/>
                                  <w:spacing w:line="360" w:lineRule="auto"/>
                                  <w:rPr>
                                    <w:color w:val="FF0000"/>
                                    <w:szCs w:val="22"/>
                                  </w:rPr>
                                </w:pPr>
                                <w:r w:rsidRPr="003C3306">
                                  <w:rPr>
                                    <w:rFonts w:ascii="Calibri" w:hAnsi="Calibri" w:cs="Arial"/>
                                    <w:szCs w:val="22"/>
                                  </w:rPr>
                                  <w:t xml:space="preserve"> MCV and HbF levels for evidence of consistent or progressive laboratory response</w:t>
                                </w:r>
                                <w:r w:rsidRPr="003C3306" w:rsidDel="000373A9">
                                  <w:rPr>
                                    <w:rFonts w:ascii="Calibri" w:hAnsi="Calibri" w:cs="Arial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7234CF" w:rsidRPr="003C3306" w:rsidRDefault="007234CF" w:rsidP="007234CF">
                                <w:pPr>
                                  <w:rPr>
                                    <w:rFonts w:cs="Arial"/>
                                    <w:lang w:eastAsia="en-GB"/>
                                  </w:rPr>
                                </w:pPr>
                                <w:r w:rsidRPr="003C3306">
                                  <w:rPr>
                                    <w:rFonts w:cs="Arial"/>
                                    <w:lang w:eastAsia="en-GB"/>
                                  </w:rPr>
                                  <w:t xml:space="preserve">: </w:t>
                                </w:r>
                              </w:p>
                              <w:p w:rsidR="007234CF" w:rsidRPr="003C3306" w:rsidRDefault="007234CF" w:rsidP="007234CF">
                                <w:pPr>
                                  <w:rPr>
                                    <w:rFonts w:cs="Arial"/>
                                    <w:lang w:eastAsia="en-GB"/>
                                  </w:rPr>
                                </w:pPr>
                              </w:p>
                              <w:p w:rsidR="007234CF" w:rsidRPr="003C3306" w:rsidRDefault="007234CF" w:rsidP="007234CF">
                                <w:pPr>
                                  <w:rPr>
                                    <w:rFonts w:cs="Arial"/>
                                    <w:lang w:eastAsia="en-GB"/>
                                  </w:rPr>
                                </w:pPr>
                                <w:r w:rsidRPr="003C3306">
                                  <w:rPr>
                                    <w:rFonts w:cs="Arial"/>
                                    <w:lang w:eastAsia="en-GB"/>
                                  </w:rPr>
                                  <w:t>– FBC with WBC differential, reticulocyte count, and platelet count every 2–3 months</w:t>
                                </w:r>
                              </w:p>
                              <w:p w:rsidR="007234CF" w:rsidRDefault="007234CF" w:rsidP="007234C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475" y="4905375"/>
                              <a:ext cx="2057400" cy="1581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4CF" w:rsidRPr="007F39D4" w:rsidRDefault="007234CF" w:rsidP="007234C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Increase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hydroxyurea</w:t>
                                </w: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by 5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mg/kg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per </w:t>
                                </w: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day until maximum 35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mg/kg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per </w:t>
                                </w: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day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7234CF" w:rsidRDefault="007234CF" w:rsidP="007234C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F39D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Monitor FBC in 2 weeks after dose increase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7234CF" w:rsidRPr="007F39D4" w:rsidRDefault="007234CF" w:rsidP="007234C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Follow above for dose modifications.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4181475" cy="6315075"/>
                              <a:chOff x="0" y="0"/>
                              <a:chExt cx="4181475" cy="6315075"/>
                            </a:xfrm>
                          </wpg:grpSpPr>
                          <wps:wsp>
                            <wps:cNvPr id="1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4525" y="0"/>
                                <a:ext cx="22669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4CF" w:rsidRPr="000272D0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Start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hydroxyurea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Adults 15 mg/kg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 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day (5-10 mg/kg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 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day if renal impairment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eGFR &lt;60 ml/min per 1.73 m</w:t>
                                  </w:r>
                                  <w:r w:rsidRPr="00CE55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  (round to nearest 500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mg) 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Children 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mg/kg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 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day 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Monitor FBC in 2 week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’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Straight Arrow Connector 16"/>
                            <wps:cNvCnPr/>
                            <wps:spPr>
                              <a:xfrm flipH="1">
                                <a:off x="1219200" y="962025"/>
                                <a:ext cx="691516" cy="981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5600700"/>
                                <a:ext cx="1629409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4CF" w:rsidRDefault="007234CF" w:rsidP="007234CF">
                                  <w:r>
                                    <w:t>Monitor FBC monthly and follow above for dose modifications.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Straight Arrow Connector 18"/>
                            <wps:cNvCnPr/>
                            <wps:spPr>
                              <a:xfrm>
                                <a:off x="1219200" y="5343525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43100"/>
                                <a:ext cx="2400300" cy="340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4CF" w:rsidRPr="000272D0" w:rsidRDefault="007234CF" w:rsidP="007234CF">
                                  <w:pP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Neutrophils &lt;1 x 10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vertAlign w:val="superscript"/>
                                      <w:lang w:eastAsia="en-GB"/>
                                    </w:rPr>
                                    <w:t>9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/l 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and/or platelets &lt;80 x 10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vertAlign w:val="superscript"/>
                                      <w:lang w:eastAsia="en-GB"/>
                                    </w:rPr>
                                    <w:t>9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/l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nd/or Hb &lt;45 g/l and </w:t>
                                  </w:r>
                                </w:p>
                                <w:p w:rsidR="007234CF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retics &lt;80 x 10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9</w:t>
                                  </w:r>
                                  <w:r w:rsidRPr="000272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/l or 20% decrease in Hb</w:t>
                                  </w:r>
                                </w:p>
                                <w:p w:rsidR="007234CF" w:rsidRDefault="007234CF" w:rsidP="007234C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169E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Stop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hydroxyurea</w:t>
                                  </w:r>
                                  <w:r w:rsidRPr="001169E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and repeat FBC weekly until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Neutrophils &gt;1.x 10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vertAlign w:val="superscript"/>
                                      <w:lang w:eastAsia="en-GB"/>
                                    </w:rPr>
                                    <w:t>9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/l in adults 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and/or platelets &gt; 80 x 10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vertAlign w:val="superscript"/>
                                      <w:lang w:eastAsia="en-GB"/>
                                    </w:rPr>
                                    <w:t>9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/l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Hb &gt;45</w:t>
                                  </w:r>
                                  <w: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g/l or &gt;20% decrease</w:t>
                                  </w: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Start same dose if transient drop or reduce by 5</w:t>
                                  </w:r>
                                  <w: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mg/kg</w:t>
                                  </w:r>
                                  <w:r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per </w:t>
                                  </w:r>
                                  <w:r w:rsidRPr="000272D0">
                                    <w:rPr>
                                      <w:rFonts w:ascii="Arial" w:eastAsia="Wingdings-Regular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  <w:t>day</w:t>
                                  </w:r>
                                </w:p>
                                <w:p w:rsidR="007234CF" w:rsidRPr="001169E2" w:rsidRDefault="007234CF" w:rsidP="007234C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234CF" w:rsidRPr="000272D0" w:rsidRDefault="007234CF" w:rsidP="007234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234CF" w:rsidRDefault="007234CF" w:rsidP="007234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4C240" id="Group 1" o:spid="_x0000_s1026" style="position:absolute;margin-left:-12.75pt;margin-top:8.45pt;width:491.25pt;height:600pt;z-index:251659264" coordsize="62388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">
                <v:group id="Group 4" o:spid="_x0000_s1027" style="position:absolute;left:41338;top:8858;width:19907;height:40037" coordsize="19907,40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top:10572;width:19907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hBcIA&#10;AADaAAAADwAAAGRycy9kb3ducmV2LnhtbESPQWvCQBSE7wX/w/IEb3WjoVpSN0GEQi1S1ErPj+wz&#10;CWbfhuzGxH/vCkKPw8x8w6yywdTiSq2rLCuYTSMQxLnVFRcKTr+fr+8gnEfWWFsmBTdykKWjlxUm&#10;2vZ8oOvRFyJA2CWooPS+SaR0eUkG3dQ2xME729agD7ItpG6xD3BTy3kULaTBisNCiQ1tSsovx84o&#10;kNv+J5a7/WL5t/3uTsbpeGCt1GQ8rD9AeBr8f/jZ/tIK3uBxJdwA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2EFwgAAANoAAAAPAAAAAAAAAAAAAAAAAJgCAABkcnMvZG93&#10;bnJldi54bWxQSwUGAAAAAAQABAD1AAAAhwMAAAAA&#10;" strokeweight="2pt">
                    <v:textbox>
                      <w:txbxContent>
                        <w:p w:rsidR="007234CF" w:rsidRPr="000272D0" w:rsidRDefault="007234CF" w:rsidP="007234CF">
                          <w:pPr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Neutrophils &gt;1 x 10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vertAlign w:val="superscript"/>
                              <w:lang w:eastAsia="en-GB"/>
                            </w:rPr>
                            <w:t>9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 xml:space="preserve">/l </w:t>
                          </w:r>
                        </w:p>
                        <w:p w:rsidR="007234CF" w:rsidRPr="000272D0" w:rsidRDefault="007234CF" w:rsidP="007234CF">
                          <w:pPr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and/or platelets &gt;80 x 10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vertAlign w:val="superscript"/>
                              <w:lang w:eastAsia="en-GB"/>
                            </w:rPr>
                            <w:t>9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/l</w:t>
                          </w:r>
                        </w:p>
                        <w:p w:rsidR="007234CF" w:rsidRDefault="007234CF" w:rsidP="007234CF">
                          <w:pPr>
                            <w:rPr>
                              <w:rFonts w:ascii="Arial" w:eastAsia="Wingdings-Regular" w:hAnsi="Arial" w:cs="Arial"/>
                              <w:sz w:val="24"/>
                              <w:szCs w:val="24"/>
                              <w:lang w:eastAsia="en-GB"/>
                            </w:rPr>
                          </w:pP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Monitor FBC monthly</w:t>
                          </w:r>
                          <w:r>
                            <w:rPr>
                              <w:rFonts w:ascii="Arial" w:eastAsia="Wingdings-Regular" w:hAnsi="Arial" w:cs="Arial"/>
                              <w:sz w:val="24"/>
                              <w:szCs w:val="24"/>
                              <w:lang w:eastAsia="en-GB"/>
                            </w:rPr>
                            <w:t xml:space="preserve"> </w:t>
                          </w:r>
                        </w:p>
                        <w:p w:rsidR="007234CF" w:rsidRDefault="007234CF" w:rsidP="007234CF"/>
                      </w:txbxContent>
                    </v:textbox>
                  </v:shape>
                  <v:shape id="Text Box 2" o:spid="_x0000_s1029" type="#_x0000_t202" style="position:absolute;left:571;top:25812;width:18288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a6cIA&#10;AADaAAAADwAAAGRycy9kb3ducmV2LnhtbESPQWvCQBSE74L/YXlCb7qpgSipayiFgilFNErPj+xr&#10;Epp9G7Krif/eLQgeh5n5htlko2nFlXrXWFbwuohAEJdWN1wpOJ8+52sQziNrbC2Tghs5yLbTyQZT&#10;bQc+0rXwlQgQdikqqL3vUildWZNBt7AdcfB+bW/QB9lXUvc4BLhp5TKKEmmw4bBQY0cfNZV/xcUo&#10;kPmwj+X3IVn95F+Xs3E6Hlkr9TIb399AeBr9M/xo77SCFfxfCT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VrpwgAAANoAAAAPAAAAAAAAAAAAAAAAAJgCAABkcnMvZG93&#10;bnJldi54bWxQSwUGAAAAAAQABAD1AAAAhwMAAAAA&#10;" strokeweight="2pt">
                    <v:textbox>
                      <w:txbxContent>
                        <w:p w:rsidR="007234CF" w:rsidRPr="000272D0" w:rsidRDefault="007234CF" w:rsidP="007234CF">
                          <w:pPr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Neutrophils &gt; 1 x 10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vertAlign w:val="superscript"/>
                              <w:lang w:eastAsia="en-GB"/>
                            </w:rPr>
                            <w:t>9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 xml:space="preserve">/l </w:t>
                          </w:r>
                        </w:p>
                        <w:p w:rsidR="007234CF" w:rsidRPr="000272D0" w:rsidRDefault="007234CF" w:rsidP="007234CF">
                          <w:pPr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</w:pP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and/or platelets &gt;80 x 10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vertAlign w:val="superscript"/>
                              <w:lang w:eastAsia="en-GB"/>
                            </w:rPr>
                            <w:t>9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>/l</w:t>
                          </w:r>
                        </w:p>
                        <w:p w:rsidR="007234CF" w:rsidRPr="000272D0" w:rsidRDefault="007234CF" w:rsidP="007234C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 xml:space="preserve">sustained for </w:t>
                          </w:r>
                          <w:r w:rsidRPr="000272D0">
                            <w:rPr>
                              <w:rFonts w:ascii="Arial" w:eastAsia="Wingdings-Regular" w:hAnsi="Arial" w:cs="Arial"/>
                              <w:sz w:val="20"/>
                              <w:szCs w:val="20"/>
                              <w:lang w:eastAsia="en-GB"/>
                            </w:rPr>
                            <w:t xml:space="preserve">8 weeks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0" type="#_x0000_t32" style="position:absolute;left:571;width:8160;height:10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xZcAAAADaAAAADwAAAGRycy9kb3ducmV2LnhtbERPTWsCMRC9F/wPYYTeatYeRFajqCD0&#10;UmytKN7GZNysbiZLkuq2v745FDw+3vd03rlG3CjE2rOC4aAAQay9qblSsPtav4xBxIRssPFMCn4o&#10;wnzWe5piafydP+m2TZXIIRxLVGBTakspo7bkMA58S5y5sw8OU4ahkibgPYe7Rr4WxUg6rDk3WGxp&#10;ZUlft99OgfnYL3dH/WtP70EvF81ZHi7jjVLP/W4xAZGoSw/xv/vNKMhb85V8A+Ts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4cWXAAAAA2gAAAA8AAAAAAAAAAAAAAAAA&#10;oQIAAGRycy9kb3ducmV2LnhtbFBLBQYAAAAABAAEAPkAAACOAwAAAAA=&#10;" strokecolor="#4a7ebb" strokeweight="2.5pt">
                    <v:stroke endarrow="open"/>
                  </v:shape>
                  <v:shape id="Straight Arrow Connector 9" o:spid="_x0000_s1031" type="#_x0000_t32" style="position:absolute;left:9429;top:21145;width:286;height:4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TU/sQAAADaAAAADwAAAGRycy9kb3ducmV2LnhtbESPT2sCMRTE74LfIbxCb5qth2K3RlFB&#10;6KW0/qHF2zN5blY3L0uS6tZP3xQKPQ4z8xtmMutcIy4UYu1ZwcOwAEGsvam5UrDbrgZjEDEhG2w8&#10;k4JvijCb9nsTLI2/8poum1SJDOFYogKbUltKGbUlh3HoW+LsHX1wmLIMlTQBrxnuGjkqikfpsOa8&#10;YLGlpSV93nw5Beb9Y7Hb65s9vAa9mDdH+Xkavyl1f9fNn0Ek6tJ/+K/9YhQ8we+VfAPk9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NT+xAAAANoAAAAPAAAAAAAAAAAA&#10;AAAAAKECAABkcnMvZG93bnJldi54bWxQSwUGAAAAAAQABAD5AAAAkgMAAAAA&#10;" strokecolor="#4a7ebb" strokeweight="2.5pt">
                    <v:stroke endarrow="open"/>
                  </v:shape>
                  <v:shape id="Straight Arrow Connector 10" o:spid="_x0000_s1032" type="#_x0000_t32" style="position:absolute;left:9239;top:35528;width:95;height:45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d2cUAAADbAAAADwAAAGRycy9kb3ducmV2LnhtbESPQU8CMRCF7yb8h2ZIvEkXD4asFAIm&#10;JF6MikTjbWiH7eJ2umkrrP5652DCbSbvzXvfzJdD6NSJUm4jG5hOKlDENrqWGwO7t83NDFQuyA67&#10;yGTghzIsF6OrOdYunvmVTtvSKAnhXKMBX0pfa52tp4B5Enti0Q4xBSyypka7hGcJD52+rao7HbBl&#10;afDY04Mn+7X9Dgbcy/t692l//f4p2fWqO+iP4+zZmOvxsLoHVWgoF/P/9aMTfKGXX2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4d2cUAAADbAAAADwAAAAAAAAAA&#10;AAAAAAChAgAAZHJzL2Rvd25yZXYueG1sUEsFBgAAAAAEAAQA+QAAAJMDAAAAAA==&#10;" strokecolor="#4a7ebb" strokeweight="2.5pt">
                    <v:stroke endarrow="open"/>
                  </v:shape>
                </v:group>
                <v:group id="Group 11" o:spid="_x0000_s1033" style="position:absolute;width:62388;height:76200" coordsize="62388,76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2" o:spid="_x0000_s1034" type="#_x0000_t202" style="position:absolute;left:6572;top:68389;width:49911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3H74A&#10;AADbAAAADwAAAGRycy9kb3ducmV2LnhtbERPTYvCMBC9C/6HMII3TVVwpRpFBEFlkbWK56EZ22Iz&#10;KU209d9vBMHbPN7nLFatKcWTaldYVjAaRiCIU6sLzhRcztvBDITzyBpLy6TgRQ5Wy25ngbG2DZ/o&#10;mfhMhBB2MSrIva9iKV2ak0E3tBVx4G62NugDrDOpa2xCuCnlOIqm0mDBoSHHijY5pffkYRTIfXOc&#10;yN+/6c91f3hcjNOTlrVS/V67noPw1Pqv+OPe6TB/DO9fw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ktx++AAAA2wAAAA8AAAAAAAAAAAAAAAAAmAIAAGRycy9kb3ducmV2&#10;LnhtbFBLBQYAAAAABAAEAPUAAACDAwAAAAA=&#10;" strokeweight="2pt">
                    <v:textbox>
                      <w:txbxContent>
                        <w:p w:rsidR="007234CF" w:rsidRPr="003C3306" w:rsidRDefault="007234CF" w:rsidP="007234CF">
                          <w:pPr>
                            <w:pStyle w:val="NHLBIBodyBullet1black"/>
                            <w:spacing w:line="360" w:lineRule="auto"/>
                            <w:rPr>
                              <w:rFonts w:ascii="Calibri" w:hAnsi="Calibri" w:cs="Arial"/>
                              <w:szCs w:val="22"/>
                            </w:rPr>
                          </w:pPr>
                          <w:r w:rsidRPr="003C3306">
                            <w:rPr>
                              <w:rFonts w:ascii="Calibri" w:hAnsi="Calibri" w:cs="Arial"/>
                              <w:szCs w:val="22"/>
                              <w:lang w:eastAsia="en-GB"/>
                            </w:rPr>
                            <w:t>Once a stable</w:t>
                          </w:r>
                          <w:r w:rsidRPr="003C3306">
                            <w:rPr>
                              <w:rFonts w:ascii="Calibri" w:hAnsi="Calibri" w:cs="Arial"/>
                              <w:szCs w:val="22"/>
                            </w:rPr>
                            <w:t xml:space="preserve"> </w:t>
                          </w:r>
                          <w:r w:rsidRPr="003C3306">
                            <w:rPr>
                              <w:rFonts w:ascii="Calibri" w:hAnsi="Calibri" w:cs="Arial"/>
                              <w:szCs w:val="22"/>
                              <w:lang w:eastAsia="en-GB"/>
                            </w:rPr>
                            <w:t>dose is established, laboratory safety monitoring should include</w:t>
                          </w:r>
                          <w:r w:rsidRPr="003C3306">
                            <w:rPr>
                              <w:rFonts w:ascii="Calibri" w:hAnsi="Calibri" w:cs="Arial"/>
                              <w:szCs w:val="22"/>
                            </w:rPr>
                            <w:t xml:space="preserve"> FBC and reticulocyte count every 2</w:t>
                          </w:r>
                          <w:r>
                            <w:rPr>
                              <w:rFonts w:ascii="Calibri" w:hAnsi="Calibri" w:cs="Arial"/>
                              <w:szCs w:val="22"/>
                            </w:rPr>
                            <w:t>-3</w:t>
                          </w:r>
                          <w:r w:rsidRPr="003C3306">
                            <w:rPr>
                              <w:rFonts w:ascii="Calibri" w:hAnsi="Calibri" w:cs="Arial"/>
                              <w:szCs w:val="22"/>
                            </w:rPr>
                            <w:t xml:space="preserve"> months. Follow above for dose modifications.</w:t>
                          </w:r>
                          <w:r>
                            <w:rPr>
                              <w:rFonts w:ascii="Calibri" w:hAnsi="Calibri" w:cs="Arial"/>
                              <w:szCs w:val="22"/>
                            </w:rPr>
                            <w:t xml:space="preserve"> HbF and MCV can be used to monitor effect/compliance.</w:t>
                          </w:r>
                        </w:p>
                        <w:p w:rsidR="007234CF" w:rsidRPr="000373A9" w:rsidRDefault="007234CF" w:rsidP="007234CF">
                          <w:pPr>
                            <w:pStyle w:val="NHLBIBodyBullet1black"/>
                            <w:spacing w:line="360" w:lineRule="auto"/>
                            <w:rPr>
                              <w:color w:val="FF0000"/>
                              <w:szCs w:val="22"/>
                            </w:rPr>
                          </w:pPr>
                          <w:r w:rsidRPr="003C3306">
                            <w:rPr>
                              <w:rFonts w:ascii="Calibri" w:hAnsi="Calibri" w:cs="Arial"/>
                              <w:szCs w:val="22"/>
                            </w:rPr>
                            <w:t xml:space="preserve"> MCV and HbF levels for evidence of consistent or progressive laboratory response</w:t>
                          </w:r>
                          <w:r w:rsidRPr="003C3306" w:rsidDel="000373A9">
                            <w:rPr>
                              <w:rFonts w:ascii="Calibri" w:hAnsi="Calibri" w:cs="Arial"/>
                              <w:szCs w:val="22"/>
                            </w:rPr>
                            <w:t xml:space="preserve"> </w:t>
                          </w:r>
                        </w:p>
                        <w:p w:rsidR="007234CF" w:rsidRPr="003C3306" w:rsidRDefault="007234CF" w:rsidP="007234CF">
                          <w:pPr>
                            <w:rPr>
                              <w:rFonts w:cs="Arial"/>
                              <w:lang w:eastAsia="en-GB"/>
                            </w:rPr>
                          </w:pPr>
                          <w:r w:rsidRPr="003C3306">
                            <w:rPr>
                              <w:rFonts w:cs="Arial"/>
                              <w:lang w:eastAsia="en-GB"/>
                            </w:rPr>
                            <w:t xml:space="preserve">: </w:t>
                          </w:r>
                        </w:p>
                        <w:p w:rsidR="007234CF" w:rsidRPr="003C3306" w:rsidRDefault="007234CF" w:rsidP="007234CF">
                          <w:pPr>
                            <w:rPr>
                              <w:rFonts w:cs="Arial"/>
                              <w:lang w:eastAsia="en-GB"/>
                            </w:rPr>
                          </w:pPr>
                        </w:p>
                        <w:p w:rsidR="007234CF" w:rsidRPr="003C3306" w:rsidRDefault="007234CF" w:rsidP="007234CF">
                          <w:pPr>
                            <w:rPr>
                              <w:rFonts w:cs="Arial"/>
                              <w:lang w:eastAsia="en-GB"/>
                            </w:rPr>
                          </w:pPr>
                          <w:r w:rsidRPr="003C3306">
                            <w:rPr>
                              <w:rFonts w:cs="Arial"/>
                              <w:lang w:eastAsia="en-GB"/>
                            </w:rPr>
                            <w:t>– FBC with WBC differential, reticulocyte count, and platelet count every 2–3 months</w:t>
                          </w:r>
                        </w:p>
                        <w:p w:rsidR="007234CF" w:rsidRDefault="007234CF" w:rsidP="007234CF"/>
                      </w:txbxContent>
                    </v:textbox>
                  </v:shape>
                  <v:shape id="Text Box 2" o:spid="_x0000_s1035" type="#_x0000_t202" style="position:absolute;left:41814;top:49053;width:20574;height:15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ShL4A&#10;AADbAAAADwAAAGRycy9kb3ducmV2LnhtbERPTYvCMBC9C/6HMMLeNNWCLtUoIgiriLgqnodmbIvN&#10;pDTR1n9vBMHbPN7nzBatKcWDaldYVjAcRCCIU6sLzhScT+v+LwjnkTWWlknBkxws5t3ODBNtG/6n&#10;x9FnIoSwS1BB7n2VSOnSnAy6ga2IA3e1tUEfYJ1JXWMTwk0pR1E0lgYLDg05VrTKKb0d70aB3DT7&#10;WO4O48lls72fjdNxy1qpn167nILw1Pqv+OP+02F+DO9fw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oEoS+AAAA2wAAAA8AAAAAAAAAAAAAAAAAmAIAAGRycy9kb3ducmV2&#10;LnhtbFBLBQYAAAAABAAEAPUAAACDAwAAAAA=&#10;" strokeweight="2pt">
                    <v:textbox>
                      <w:txbxContent>
                        <w:p w:rsidR="007234CF" w:rsidRPr="007F39D4" w:rsidRDefault="007234CF" w:rsidP="007234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Increase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hydroxyurea</w:t>
                          </w: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by 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mg/kg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per </w:t>
                          </w: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day until maximum 35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mg/kg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per </w:t>
                          </w: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day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7234CF" w:rsidRDefault="007234CF" w:rsidP="007234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F39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Monitor FBC in 2 weeks after dose increase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7234CF" w:rsidRPr="007F39D4" w:rsidRDefault="007234CF" w:rsidP="007234C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Follow above for dose modifications.</w:t>
                          </w:r>
                        </w:p>
                      </w:txbxContent>
                    </v:textbox>
                  </v:shape>
                  <v:group id="Group 14" o:spid="_x0000_s1036" style="position:absolute;width:41814;height:63150" coordsize="41814,6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15" o:spid="_x0000_s1037" type="#_x0000_t202" style="position:absolute;left:19145;width:22669;height:16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va8AA&#10;AADbAAAADwAAAGRycy9kb3ducmV2LnhtbERP24rCMBB9F/Yfwiz4pukqXqiNsgiCyiJeis9DM9uW&#10;bSalibb+/UYQfJvDuU6y6kwl7tS40rKCr2EEgjizuuRcQXrZDOYgnEfWWFkmBQ9ysFp+9BKMtW35&#10;RPezz0UIYRejgsL7OpbSZQUZdENbEwfu1zYGfYBNLnWDbQg3lRxF0VQaLDk0FFjTuqDs73wzCuSu&#10;PYzlz3E6u+72t9Q4Pe5YK9X/7L4XIDx1/i1+ubc6zJ/A85dw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0va8AAAADbAAAADwAAAAAAAAAAAAAAAACYAgAAZHJzL2Rvd25y&#10;ZXYueG1sUEsFBgAAAAAEAAQA9QAAAIUDAAAAAA==&#10;" strokeweight="2pt">
                      <v:textbox>
                        <w:txbxContent>
                          <w:p w:rsidR="007234CF" w:rsidRPr="000272D0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hydroxyurea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Adults 15 mg/kg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 (5-10 mg/kg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 if renal impairment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eGFR &lt;60 ml/min per 1.73 m</w:t>
                            </w:r>
                            <w:r w:rsidRPr="00CE557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 (round to nearest 500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mg) 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mg/kg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day 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Monitor FBC in 2 week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 time</w:t>
                            </w:r>
                          </w:p>
                        </w:txbxContent>
                      </v:textbox>
                    </v:shape>
                    <v:shape id="Straight Arrow Connector 16" o:spid="_x0000_s1038" type="#_x0000_t32" style="position:absolute;left:12192;top:9620;width:6915;height:98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89Y8UAAADbAAAADwAAAGRycy9kb3ducmV2LnhtbERPTWsCMRC9F/ofwhS8lJp1qWJXo6i0&#10;UA8equ3B27gZdxc3k3WTavTXN0LB2zze54ynwdTiRK2rLCvodRMQxLnVFRcKvjcfL0MQziNrrC2T&#10;ggs5mE4eH8aYaXvmLzqtfSFiCLsMFZTeN5mULi/JoOvahjhye9sa9BG2hdQtnmO4qWWaJANpsOLY&#10;UGJDi5Lyw/rXKPjZ2hCWh/nx+dpfvr2/JulqN0yV6jyF2QiEp+Dv4n/3p47zB3D7JR4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89Y8UAAADbAAAADwAAAAAAAAAA&#10;AAAAAAChAgAAZHJzL2Rvd25yZXYueG1sUEsFBgAAAAAEAAQA+QAAAJMDAAAAAA==&#10;" strokecolor="#4a7ebb" strokeweight="2.5pt">
                      <v:stroke endarrow="open"/>
                    </v:shape>
                    <v:shape id="Text Box 2" o:spid="_x0000_s1039" type="#_x0000_t202" style="position:absolute;left:4762;top:56007;width:16294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Uh74A&#10;AADbAAAADwAAAGRycy9kb3ducmV2LnhtbERPTYvCMBC9C/6HMII3TVVQ6RpFBEFFRKvseWhm27LN&#10;pDTR1n9vBMHbPN7nLFatKcWDaldYVjAaRiCIU6sLzhTcrtvBHITzyBpLy6TgSQ5Wy25ngbG2DV/o&#10;kfhMhBB2MSrIva9iKV2ak0E3tBVx4P5sbdAHWGdS19iEcFPKcRRNpcGCQ0OOFW1ySv+Tu1Eg981p&#10;Io/n6ex3f7jfjNOTlrVS/V67/gHhqfVf8ce902H+DN6/h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TFIe+AAAA2wAAAA8AAAAAAAAAAAAAAAAAmAIAAGRycy9kb3ducmV2&#10;LnhtbFBLBQYAAAAABAAEAPUAAACDAwAAAAA=&#10;" strokeweight="2pt">
                      <v:textbox>
                        <w:txbxContent>
                          <w:p w:rsidR="007234CF" w:rsidRDefault="007234CF" w:rsidP="007234CF">
                            <w:r>
                              <w:t>Monitor FBC monthly and follow above for dose modifications.</w:t>
                            </w:r>
                          </w:p>
                        </w:txbxContent>
                      </v:textbox>
                    </v:shape>
                    <v:shape id="Straight Arrow Connector 18" o:spid="_x0000_s1040" type="#_x0000_t32" style="position:absolute;left:12192;top:53435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R38UAAADbAAAADwAAAGRycy9kb3ducmV2LnhtbESPQU8CMRCF7yb8h2ZIvEkXD4asFAIm&#10;JF6MikTjbWiH7eJ2umkrrP5652DCbSbvzXvfzJdD6NSJUm4jG5hOKlDENrqWGwO7t83NDFQuyA67&#10;yGTghzIsF6OrOdYunvmVTtvSKAnhXKMBX0pfa52tp4B5Enti0Q4xBSyypka7hGcJD52+rao7HbBl&#10;afDY04Mn+7X9Dgbcy/t692l//f4p2fWqO+iP4+zZmOvxsLoHVWgoF/P/9aMTfIGVX2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gR38UAAADbAAAADwAAAAAAAAAA&#10;AAAAAAChAgAAZHJzL2Rvd25yZXYueG1sUEsFBgAAAAAEAAQA+QAAAJMDAAAAAA==&#10;" strokecolor="#4a7ebb" strokeweight="2.5pt">
                      <v:stroke endarrow="open"/>
                    </v:shape>
                    <v:shape id="Text Box 2" o:spid="_x0000_s1041" type="#_x0000_t202" style="position:absolute;top:19431;width:24003;height:34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lbsEA&#10;AADbAAAADwAAAGRycy9kb3ducmV2LnhtbERPTWvCQBC9C/0PyxS8mU0NaJu6ShEEFRGbSs9DdpqE&#10;ZmdDdmPiv3cFwds83ucsVoOpxYVaV1lW8BbFIIhzqysuFJx/NpN3EM4ja6wtk4IrOVgtX0YLTLXt&#10;+ZsumS9ECGGXooLS+yaV0uUlGXSRbYgD92dbgz7AtpC6xT6Em1pO43gmDVYcGkpsaF1S/p91RoHc&#10;9cdEHk6z+e9u352N08nAWqnx6/D1CcLT4J/ih3urw/wPuP8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JW7BAAAA2wAAAA8AAAAAAAAAAAAAAAAAmAIAAGRycy9kb3du&#10;cmV2LnhtbFBLBQYAAAAABAAEAPUAAACGAwAAAAA=&#10;" strokeweight="2pt">
                      <v:textbox>
                        <w:txbxContent>
                          <w:p w:rsidR="007234CF" w:rsidRPr="000272D0" w:rsidRDefault="007234CF" w:rsidP="007234CF">
                            <w:pP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Neutrophils &lt;1 x 10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9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/l 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and/or platelets &lt;80 x 10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9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/l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nd/or Hb &lt;45 g/l and </w:t>
                            </w:r>
                          </w:p>
                          <w:p w:rsidR="007234CF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retics &lt;80 x 10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9</w:t>
                            </w:r>
                            <w:r w:rsidRPr="000272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/l or 20% decrease in Hb</w:t>
                            </w:r>
                          </w:p>
                          <w:p w:rsidR="007234CF" w:rsidRDefault="007234CF" w:rsidP="007234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69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Stop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hydroxyurea</w:t>
                            </w:r>
                            <w:r w:rsidRPr="001169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repeat FBC weekly until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Neutrophils &gt;1.x 10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9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/l in adults 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and/or platelets &gt; 80 x 10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9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/l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Hb &gt;45</w:t>
                            </w:r>
                            <w: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g/l or &gt;20% decrease</w:t>
                            </w: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Start same dose if transient drop or reduce by 5</w:t>
                            </w:r>
                            <w: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mg/kg</w:t>
                            </w:r>
                            <w:r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per </w:t>
                            </w:r>
                            <w:r w:rsidRPr="000272D0">
                              <w:rPr>
                                <w:rFonts w:ascii="Arial" w:eastAsia="Wingdings-Regular" w:hAnsi="Arial" w:cs="Arial"/>
                                <w:sz w:val="20"/>
                                <w:szCs w:val="20"/>
                                <w:lang w:eastAsia="en-GB"/>
                              </w:rPr>
                              <w:t>day</w:t>
                            </w:r>
                          </w:p>
                          <w:p w:rsidR="007234CF" w:rsidRPr="001169E2" w:rsidRDefault="007234CF" w:rsidP="007234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34CF" w:rsidRPr="000272D0" w:rsidRDefault="007234CF" w:rsidP="007234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234CF" w:rsidRDefault="007234CF" w:rsidP="007234CF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34CF" w:rsidRPr="00EB57AC" w:rsidRDefault="007234CF" w:rsidP="00723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eGFR, estimated glomerular filtration rate; FBC, full blood count; Hb, haemoglobin; HbF, haemoglobin F; MCV, mean corpuscular volume.</w:t>
      </w:r>
    </w:p>
    <w:p w:rsidR="007A1999" w:rsidRDefault="00645268"/>
    <w:sectPr w:rsidR="007A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0F"/>
    <w:multiLevelType w:val="hybridMultilevel"/>
    <w:tmpl w:val="8138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28D8"/>
    <w:multiLevelType w:val="hybridMultilevel"/>
    <w:tmpl w:val="09DC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0C7A"/>
    <w:multiLevelType w:val="hybridMultilevel"/>
    <w:tmpl w:val="BE9E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27283"/>
    <w:multiLevelType w:val="hybridMultilevel"/>
    <w:tmpl w:val="7FA8EAF0"/>
    <w:lvl w:ilvl="0" w:tplc="8A78B23E">
      <w:start w:val="1"/>
      <w:numFmt w:val="bullet"/>
      <w:pStyle w:val="NHLBIBodyBullet1black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C7D8E"/>
    <w:multiLevelType w:val="hybridMultilevel"/>
    <w:tmpl w:val="308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4E"/>
    <w:rsid w:val="0006262B"/>
    <w:rsid w:val="00134CC8"/>
    <w:rsid w:val="001C5F15"/>
    <w:rsid w:val="001D05AB"/>
    <w:rsid w:val="00414FBB"/>
    <w:rsid w:val="00495E4F"/>
    <w:rsid w:val="004E314E"/>
    <w:rsid w:val="00553BEA"/>
    <w:rsid w:val="005D264C"/>
    <w:rsid w:val="005E291A"/>
    <w:rsid w:val="00645268"/>
    <w:rsid w:val="007234CF"/>
    <w:rsid w:val="00933361"/>
    <w:rsid w:val="00F27A3F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70766-42CA-4455-B0E3-DCEE2A0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CF"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Char Char"/>
    <w:uiPriority w:val="99"/>
    <w:rsid w:val="007234CF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7234CF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NHLBIBodyBullet1black">
    <w:name w:val="NHLBI_Body Bullet 1_black"/>
    <w:basedOn w:val="Normal"/>
    <w:uiPriority w:val="99"/>
    <w:rsid w:val="007234CF"/>
    <w:pPr>
      <w:numPr>
        <w:numId w:val="5"/>
      </w:numPr>
      <w:spacing w:after="60"/>
    </w:pPr>
    <w:rPr>
      <w:rFonts w:ascii="Arial Narrow" w:eastAsia="Times New Roman" w:hAnsi="Arial Narrow" w:cs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Foley</dc:creator>
  <cp:lastModifiedBy>Charlie Foley</cp:lastModifiedBy>
  <cp:revision>6</cp:revision>
  <dcterms:created xsi:type="dcterms:W3CDTF">2018-08-27T19:31:00Z</dcterms:created>
  <dcterms:modified xsi:type="dcterms:W3CDTF">2018-08-30T10:59:00Z</dcterms:modified>
</cp:coreProperties>
</file>