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EFA" w:rsidRDefault="00CB7F34">
      <w:pPr>
        <w:spacing w:line="140" w:lineRule="atLeast"/>
        <w:divId w:val="803044717"/>
        <w:rPr>
          <w:rFonts w:ascii="Arial Narrow" w:eastAsia="Times New Roman" w:hAnsi="Arial Narrow"/>
          <w:color w:val="000000"/>
          <w:sz w:val="14"/>
          <w:szCs w:val="14"/>
        </w:rPr>
      </w:pPr>
      <w:r>
        <w:rPr>
          <w:rFonts w:ascii="Arial Narrow" w:eastAsia="Times New Roman" w:hAnsi="Arial Narrow"/>
          <w:b/>
          <w:bCs/>
          <w:color w:val="000000"/>
          <w:sz w:val="14"/>
          <w:szCs w:val="14"/>
        </w:rPr>
        <w:t>Question</w:t>
      </w:r>
      <w:r>
        <w:rPr>
          <w:rFonts w:ascii="Arial Narrow" w:eastAsia="Times New Roman" w:hAnsi="Arial Narrow"/>
          <w:color w:val="000000"/>
          <w:sz w:val="14"/>
          <w:szCs w:val="14"/>
        </w:rPr>
        <w:t xml:space="preserve">: Post it notes compared to no Post it notes for improving response rates to questionnaires </w:t>
      </w:r>
    </w:p>
    <w:p w:rsidR="00392EFA" w:rsidRDefault="00CB7F34">
      <w:pPr>
        <w:spacing w:line="140" w:lineRule="atLeast"/>
        <w:divId w:val="1926841418"/>
        <w:rPr>
          <w:rFonts w:ascii="Arial Narrow" w:eastAsia="Times New Roman" w:hAnsi="Arial Narrow"/>
          <w:color w:val="000000"/>
          <w:sz w:val="14"/>
          <w:szCs w:val="14"/>
        </w:rPr>
      </w:pPr>
      <w:r>
        <w:rPr>
          <w:rFonts w:ascii="Arial Narrow" w:eastAsia="Times New Roman" w:hAnsi="Arial Narrow"/>
          <w:color w:val="000000"/>
          <w:sz w:val="14"/>
          <w:szCs w:val="14"/>
        </w:rPr>
        <w:t xml:space="preserve">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18"/>
        <w:gridCol w:w="861"/>
        <w:gridCol w:w="1006"/>
        <w:gridCol w:w="1006"/>
        <w:gridCol w:w="1006"/>
        <w:gridCol w:w="1006"/>
        <w:gridCol w:w="1581"/>
        <w:gridCol w:w="1150"/>
        <w:gridCol w:w="1150"/>
        <w:gridCol w:w="1150"/>
        <w:gridCol w:w="862"/>
        <w:gridCol w:w="1437"/>
        <w:gridCol w:w="1437"/>
      </w:tblGrid>
      <w:tr w:rsidR="00392EFA">
        <w:trPr>
          <w:divId w:val="337392579"/>
          <w:cantSplit/>
          <w:tblHeader/>
        </w:trPr>
        <w:tc>
          <w:tcPr>
            <w:tcW w:w="0" w:type="auto"/>
            <w:gridSpan w:val="7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:rsidR="00392EFA" w:rsidRDefault="00CB7F3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Certainty assessment</w:t>
            </w:r>
          </w:p>
        </w:tc>
        <w:tc>
          <w:tcPr>
            <w:tcW w:w="0" w:type="auto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:rsidR="00392EFA" w:rsidRDefault="00CB7F34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№ of patients</w:t>
            </w:r>
          </w:p>
        </w:tc>
        <w:tc>
          <w:tcPr>
            <w:tcW w:w="0" w:type="auto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:rsidR="00392EFA" w:rsidRDefault="00CB7F34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Effect</w:t>
            </w:r>
          </w:p>
        </w:tc>
        <w:tc>
          <w:tcPr>
            <w:tcW w:w="500" w:type="pct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:rsidR="00392EFA" w:rsidRDefault="00CB7F34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Certainty</w:t>
            </w:r>
          </w:p>
        </w:tc>
        <w:tc>
          <w:tcPr>
            <w:tcW w:w="0" w:type="auto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:rsidR="00392EFA" w:rsidRDefault="00CB7F34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Importance</w:t>
            </w:r>
          </w:p>
        </w:tc>
      </w:tr>
      <w:tr w:rsidR="00392EFA">
        <w:trPr>
          <w:divId w:val="337392579"/>
          <w:cantSplit/>
          <w:tblHeader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:rsidR="00392EFA" w:rsidRDefault="00CB7F34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№ of studies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:rsidR="00392EFA" w:rsidRDefault="00CB7F34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Study design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:rsidR="00392EFA" w:rsidRDefault="00CB7F34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Risk of bias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:rsidR="00392EFA" w:rsidRDefault="00CB7F34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Inconsistency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:rsidR="00392EFA" w:rsidRDefault="00CB7F34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Indirectness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:rsidR="00392EFA" w:rsidRDefault="00CB7F34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Imprecision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:rsidR="00392EFA" w:rsidRDefault="00CB7F34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Other considerations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:rsidR="00392EFA" w:rsidRDefault="00CB7F34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 xml:space="preserve">Post it notes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:rsidR="00392EFA" w:rsidRDefault="00CB7F34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 xml:space="preserve">no Post it notes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:rsidR="00392EFA" w:rsidRDefault="00CB7F34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Relative</w:t>
            </w: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br/>
              <w:t>(95% CI)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:rsidR="00392EFA" w:rsidRDefault="00CB7F34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Absolute</w:t>
            </w: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br/>
              <w:t>(95% CI)</w:t>
            </w: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392EFA" w:rsidRDefault="00392EFA">
            <w:pP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392EFA" w:rsidRDefault="00392EFA">
            <w:pP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</w:p>
        </w:tc>
      </w:tr>
      <w:tr w:rsidR="00392EFA">
        <w:trPr>
          <w:divId w:val="337392579"/>
          <w:cantSplit/>
        </w:trPr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392EFA" w:rsidRDefault="00CB7F34">
            <w:pPr>
              <w:divId w:val="1071192716"/>
              <w:rPr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>New outcome</w:t>
            </w:r>
          </w:p>
        </w:tc>
      </w:tr>
      <w:tr w:rsidR="00392EFA">
        <w:trPr>
          <w:divId w:val="337392579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EFA" w:rsidRDefault="00CB7F34">
            <w:pPr>
              <w:jc w:val="center"/>
              <w:divId w:val="1450771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3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EFA" w:rsidRDefault="00CB7F34">
            <w:pPr>
              <w:jc w:val="center"/>
              <w:divId w:val="1537691947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randomised trials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EFA" w:rsidRDefault="00CB7F34">
            <w:pPr>
              <w:jc w:val="center"/>
              <w:divId w:val="24264211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not serious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EFA" w:rsidRDefault="00CB7F34">
            <w:pPr>
              <w:jc w:val="center"/>
              <w:divId w:val="10574045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not serious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EFA" w:rsidRDefault="00CB7F34">
            <w:pPr>
              <w:jc w:val="center"/>
              <w:divId w:val="23798463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not serious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EFA" w:rsidRDefault="00CB7F34">
            <w:pPr>
              <w:jc w:val="center"/>
              <w:divId w:val="711000893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not serious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EFA" w:rsidRDefault="00CB7F34">
            <w:pPr>
              <w:jc w:val="center"/>
              <w:divId w:val="876550098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none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EFA" w:rsidRDefault="00CB7F34">
            <w:pPr>
              <w:jc w:val="center"/>
              <w:divId w:val="135105698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1069/1906 (56.1%)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EFA" w:rsidRDefault="00CB7F34">
            <w:pPr>
              <w:jc w:val="center"/>
              <w:divId w:val="224531508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eastAsia="Times New Roman" w:hAnsi="Arial Narrow"/>
                <w:sz w:val="13"/>
                <w:szCs w:val="13"/>
              </w:rPr>
              <w:t xml:space="preserve">837/1906 (43.9%)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EFA" w:rsidRDefault="00CB7F34">
            <w:pPr>
              <w:jc w:val="center"/>
              <w:divId w:val="179007359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block"/>
                <w:rFonts w:ascii="Arial Narrow" w:eastAsia="Times New Roman" w:hAnsi="Arial Narrow"/>
                <w:b/>
                <w:bCs/>
                <w:sz w:val="13"/>
                <w:szCs w:val="13"/>
              </w:rPr>
              <w:t>OR 0.97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cell"/>
                <w:rFonts w:ascii="Arial Narrow" w:eastAsia="Times New Roman" w:hAnsi="Arial Narrow"/>
                <w:sz w:val="13"/>
                <w:szCs w:val="13"/>
              </w:rPr>
              <w:t>(0.70 to 1.35)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EFA" w:rsidRDefault="00CB7F34">
            <w:pPr>
              <w:jc w:val="center"/>
              <w:divId w:val="213201794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sz w:val="13"/>
                <w:szCs w:val="13"/>
              </w:rPr>
              <w:t>7 fewer per 1,000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  <w:t xml:space="preserve">(from 85 fewer to 75 more)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EFA" w:rsidRDefault="00CB7F34">
            <w:pPr>
              <w:jc w:val="center"/>
              <w:divId w:val="35307222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21"/>
                <w:szCs w:val="21"/>
              </w:rPr>
              <w:t>⨁⨁⨁⨁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eastAsia="Times New Roman" w:hAnsi="Arial Narrow"/>
                <w:sz w:val="13"/>
                <w:szCs w:val="13"/>
              </w:rPr>
              <w:t>HIGH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EFA" w:rsidRDefault="00392EFA">
            <w:pPr>
              <w:jc w:val="center"/>
              <w:rPr>
                <w:rFonts w:ascii="Arial Narrow" w:eastAsia="Times New Roman" w:hAnsi="Arial Narrow"/>
                <w:sz w:val="13"/>
                <w:szCs w:val="13"/>
              </w:rPr>
            </w:pPr>
          </w:p>
        </w:tc>
      </w:tr>
    </w:tbl>
    <w:p w:rsidR="00392EFA" w:rsidRDefault="00CB7F34">
      <w:pPr>
        <w:pStyle w:val="NormalWeb"/>
        <w:spacing w:line="140" w:lineRule="atLeast"/>
        <w:divId w:val="337392579"/>
        <w:rPr>
          <w:rFonts w:ascii="Arial Narrow" w:hAnsi="Arial Narrow"/>
          <w:color w:val="000000"/>
          <w:sz w:val="14"/>
          <w:szCs w:val="14"/>
        </w:rPr>
      </w:pPr>
      <w:r>
        <w:rPr>
          <w:rFonts w:ascii="Arial Narrow" w:hAnsi="Arial Narrow"/>
          <w:b/>
          <w:bCs/>
          <w:color w:val="000000"/>
          <w:sz w:val="14"/>
          <w:szCs w:val="14"/>
        </w:rPr>
        <w:t>CI:</w:t>
      </w:r>
      <w:r>
        <w:rPr>
          <w:rFonts w:ascii="Arial Narrow" w:hAnsi="Arial Narrow"/>
          <w:color w:val="000000"/>
          <w:sz w:val="14"/>
          <w:szCs w:val="14"/>
        </w:rPr>
        <w:t xml:space="preserve"> Confidence interval; </w:t>
      </w:r>
      <w:r>
        <w:rPr>
          <w:rFonts w:ascii="Arial Narrow" w:hAnsi="Arial Narrow"/>
          <w:b/>
          <w:bCs/>
          <w:color w:val="000000"/>
          <w:sz w:val="14"/>
          <w:szCs w:val="14"/>
        </w:rPr>
        <w:t>OR:</w:t>
      </w:r>
      <w:r>
        <w:rPr>
          <w:rFonts w:ascii="Arial Narrow" w:hAnsi="Arial Narrow"/>
          <w:color w:val="000000"/>
          <w:sz w:val="14"/>
          <w:szCs w:val="14"/>
        </w:rPr>
        <w:t xml:space="preserve"> Odds ratio</w:t>
      </w:r>
      <w:bookmarkStart w:id="0" w:name="_GoBack"/>
      <w:bookmarkEnd w:id="0"/>
    </w:p>
    <w:sectPr w:rsidR="00392EFA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DA"/>
    <w:rsid w:val="00392EFA"/>
    <w:rsid w:val="005E17DA"/>
    <w:rsid w:val="009C116C"/>
    <w:rsid w:val="009F6D4E"/>
    <w:rsid w:val="00CB7F34"/>
    <w:rsid w:val="00CD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7990B"/>
  <w15:docId w15:val="{4AB01195-3B15-446E-A28F-91E72FDB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bel">
    <w:name w:val="label"/>
    <w:basedOn w:val="DefaultParagraphFont"/>
  </w:style>
  <w:style w:type="character" w:customStyle="1" w:styleId="cell-value">
    <w:name w:val="cell-value"/>
    <w:basedOn w:val="DefaultParagraphFont"/>
  </w:style>
  <w:style w:type="character" w:customStyle="1" w:styleId="cell">
    <w:name w:val="cell"/>
    <w:basedOn w:val="DefaultParagraphFont"/>
  </w:style>
  <w:style w:type="character" w:customStyle="1" w:styleId="block">
    <w:name w:val="block"/>
    <w:basedOn w:val="DefaultParagraphFont"/>
  </w:style>
  <w:style w:type="character" w:customStyle="1" w:styleId="quality-sign">
    <w:name w:val="quality-sign"/>
    <w:basedOn w:val="DefaultParagraphFont"/>
  </w:style>
  <w:style w:type="character" w:customStyle="1" w:styleId="quality-text">
    <w:name w:val="quality-text"/>
    <w:basedOn w:val="DefaultParagraphFont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9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2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1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Rodgers, S.A.</dc:creator>
  <cp:lastModifiedBy>Rodgers, S.A.</cp:lastModifiedBy>
  <cp:revision>3</cp:revision>
  <dcterms:created xsi:type="dcterms:W3CDTF">2019-01-31T12:02:00Z</dcterms:created>
  <dcterms:modified xsi:type="dcterms:W3CDTF">2019-01-31T14:35:00Z</dcterms:modified>
</cp:coreProperties>
</file>