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5534" w:type="pct"/>
        <w:tblBorders>
          <w:top w:val="dotted" w:sz="4" w:color="5B9BD5" w:space="0" w:themeColor="accent1"/>
          <w:bottom w:val="dotted" w:sz="4" w:color="5B9BD5" w:space="0" w:themeColor="accent1"/>
          <w:left w:val="dotted" w:sz="4" w:color="5B9BD5" w:space="0" w:themeColor="accent1"/>
          <w:right w:val="dotted" w:sz="4" w:color="5B9BD5" w:space="0" w:themeColor="accent1"/>
          <w:insideH w:val="dotted" w:sz="4" w:color="5B9BD5" w:space="0" w:themeColor="accent1"/>
          <w:insideV w:val="dotted" w:sz="4" w:color="5B9BD5" w:space="0" w:themeColor="accent1"/>
        </w:tblBorders>
        <w:tblInd w:w="-510" w:type="dxa"/>
        <w:tblStyle w:val="Grilledutableau1"/>
        <w:tblLook w:val="4A0"/>
      </w:tblPr>
      <w:tblGrid>
        <w:gridCol w:w="121"/>
        <w:gridCol w:w="1718"/>
        <w:gridCol w:w="517"/>
        <w:gridCol w:w="7120"/>
        <w:gridCol w:w="1681"/>
      </w:tblGrid>
      <w:tr w:rsidR="00D8602F" w:rsidRPr="008469D3" w:rsidTr="00D8602F">
        <w:trPr>
          <w:trHeight w:val="288"/>
        </w:trPr>
        <w:tc>
          <w:tcPr>
            <w:tcMar>
              <w:left w:w="57" w:type="dxa"/>
              <w:right w:w="57" w:type="dxa"/>
            </w:tcMa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shd w:fill="5B9BD5" w:color="auto" w:themeFill="accent1" w:val="clear"/>
            <w:vAlign w:val="center"/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FFFFFF"/>
                <w:sz w:val="18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shd w:fill="5B9BD5" w:color="auto" w:themeFill="accent1" w:val="clear"/>
            <w:vAlign w:val="center"/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FFFFFF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FFFFFF"/>
                <w:sz w:val="18"/>
              </w:rPr>
              <w:t>Section &amp; Topic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shd w:fill="5B9BD5" w:color="auto" w:themeFill="accent1" w:val="clear"/>
            <w:vAlign w:val="center"/>
            <w:tcW w:w="518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FFFFFF"/>
                <w:sz w:val="18"/>
              </w:rPr>
            </w:pPr>
            <w:r>
              <w:rPr>
                <w:rFonts w:cstheme="minorHAnsi"/>
                <w:lang w:val="en-GB"/>
                <w:b/>
                <w:color w:val="FFFFFF"/>
                <w:sz w:val="18"/>
              </w:rPr>
              <w:t>No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shd w:fill="5B9BD5" w:color="auto" w:themeFill="accent1" w:val="clear"/>
            <w:vAlign w:val="center"/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FFFFFF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FFFFFF"/>
                <w:sz w:val="18"/>
              </w:rPr>
              <w:t>Item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shd w:fill="5B9BD5" w:color="auto" w:themeFill="accent1" w:val="clear"/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b/>
                <w:color w:val="FFFFFF"/>
                <w:sz w:val="18"/>
              </w:rPr>
            </w:pPr>
            <w:r>
              <w:rPr>
                <w:rFonts w:cstheme="minorHAnsi"/>
                <w:lang w:val="en-GB"/>
                <w:b/>
                <w:color w:val="FFFFFF"/>
                <w:sz w:val="18"/>
              </w:rPr>
              <w:t>Reported on page #</w:t>
            </w:r>
          </w:p>
        </w:tc>
      </w:tr>
      <w:tr w:rsidR="00D8602F" w:rsidRPr="005320D9" w:rsidTr="00D8602F">
        <w:trPr>
          <w:trHeight w:val="20"/>
        </w:trPr>
        <w:tc>
          <w:tcPr>
            <w:tcMar>
              <w:left w:w="57" w:type="dxa"/>
              <w:right w:w="57" w:type="dxa"/>
            </w:tcMar>
            <w:tcBorders>
              <w:top w:val="single" w:sz="4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5320D9">
            <w:pPr>
              <w:rFonts w:cstheme="minorHAnsi"/>
              <w:spacing w:line="276" w:lineRule="auto"/>
              <w:rPr>
                <w:lang w:val="en-GB"/>
                <w:color w:val="000000"/>
                <w:sz w:val="8"/>
              </w:rPr>
            </w:pPr>
          </w:p>
        </w:tc>
        <w:tc>
          <w:tcPr>
            <w:tcBorders>
              <w:top w:val="single" w:sz="4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727" w:type="dxa"/>
          </w:tcPr>
          <w:p w:rsidR="00D8602F" w:rsidRDefault="00D8602F" w:rsidP="00ED78B5" w:rsidRPr="005320D9">
            <w:pPr>
              <w:rFonts w:cstheme="minorHAnsi"/>
              <w:spacing w:line="276" w:lineRule="auto"/>
              <w:rPr>
                <w:lang w:val="en-GB"/>
                <w:b/>
                <w:color w:val="5B9BD5"/>
                <w:sz w:val="8"/>
              </w:rPr>
            </w:pPr>
          </w:p>
        </w:tc>
        <w:tc>
          <w:tcPr>
            <w:tcBorders>
              <w:top w:val="single" w:sz="4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518" w:type="dxa"/>
          </w:tcPr>
          <w:p w:rsidR="00D8602F" w:rsidRDefault="00D8602F" w:rsidP="00ED78B5" w:rsidRPr="005320D9">
            <w:pPr>
              <w:rFonts w:cstheme="minorHAnsi"/>
              <w:jc w:val="center"/>
              <w:spacing w:line="276" w:lineRule="auto"/>
              <w:rPr>
                <w:lang w:val="en-GB"/>
                <w:b/>
                <w:color w:val="000000"/>
                <w:sz w:val="8"/>
              </w:rPr>
            </w:pPr>
          </w:p>
        </w:tc>
        <w:tc>
          <w:tcPr>
            <w:tcBorders>
              <w:top w:val="single" w:sz="4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7282" w:type="dxa"/>
          </w:tcPr>
          <w:p w:rsidR="00D8602F" w:rsidRDefault="00D8602F" w:rsidP="00ED78B5" w:rsidRPr="005320D9">
            <w:pPr>
              <w:rFonts w:cstheme="minorHAnsi"/>
              <w:jc w:val="center"/>
              <w:spacing w:line="276" w:lineRule="auto"/>
              <w:rPr>
                <w:lang w:val="en-GB"/>
                <w:b/>
                <w:color w:val="000000"/>
                <w:sz w:val="8"/>
              </w:rPr>
            </w:pPr>
          </w:p>
        </w:tc>
        <w:tc>
          <w:tcPr>
            <w:tcBorders>
              <w:top w:val="single" w:sz="4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692" w:type="dxa"/>
          </w:tcPr>
          <w:p w:rsidR="00D8602F" w:rsidRDefault="00D8602F" w:rsidP="00D8602F" w:rsidRPr="005320D9">
            <w:pPr>
              <w:rFonts w:cstheme="minorHAnsi"/>
              <w:rPr>
                <w:lang w:val="en-GB"/>
                <w:b/>
                <w:color w:val="000000"/>
                <w:sz w:val="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nil" w:sz="0" w:color="auto" w:space="0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TITLE OR ABSTRACT</w:t>
            </w:r>
          </w:p>
        </w:tc>
        <w:tc>
          <w:tcPr>
            <w:tcBorders>
              <w:top w:val="nil" w:sz="0" w:color="auto" w:space="0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8469D3">
            <w:pPr>
              <w:rFonts w:cstheme="minorHAnsi"/>
              <w:jc w:val="center"/>
              <w:spacing w:line="276" w:lineRule="auto"/>
              <w:rPr>
                <w:lang w:val="en-GB"/>
                <w:b/>
                <w:color w:val="000000"/>
                <w:sz w:val="18"/>
              </w:rPr>
            </w:pPr>
          </w:p>
        </w:tc>
        <w:tc>
          <w:tcPr>
            <w:tcBorders>
              <w:top w:val="nil" w:sz="0" w:color="auto" w:space="0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jc w:val="center"/>
              <w:spacing w:line="276" w:lineRule="auto"/>
              <w:rPr>
                <w:lang w:val="en-GB"/>
                <w:b/>
                <w:color w:val="000000"/>
                <w:sz w:val="18"/>
              </w:rPr>
            </w:pPr>
          </w:p>
        </w:tc>
        <w:tc>
          <w:tcPr>
            <w:tcBorders>
              <w:top w:val="nil" w:sz="0" w:color="auto" w:space="0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b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Identification as a study of diagnostic accuracy using at least one measure of accuracy</w:t>
            </w:r>
          </w:p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(such as sensitivity, specificity, predictive values, or AUC)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Abstract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 1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ABSTRACT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i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Structured summary of study design, methods, results, and conclusions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(for specific guidance, see STARD for Abstracts)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Structured abstract included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 1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INTRODUCTION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i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3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Scientific and clinical background, including the intended use and clinical role of the index test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Page 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4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Study objectives and hypotheses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METHODS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i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i/>
                <w:color w:val="2E74B5"/>
                <w:sz w:val="18"/>
              </w:rPr>
              <w:t>Study design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5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Whether data collection was planned before the index test and reference standard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were performed (prospective study) or after (retrospective study)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 xml:space="preserve">Retrospective </w:t>
            </w:r>
            <w:r w:rsidR="00B85603">
              <w:rPr>
                <w:rFonts w:cstheme="minorHAnsi"/>
                <w:lang w:val="en-GB"/>
                <w:color w:val="000000"/>
                <w:sz w:val="18"/>
              </w:rPr>
              <w:t>study – title, abstract and page 3/4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i/>
                <w:color w:val="2E74B5"/>
                <w:sz w:val="18"/>
              </w:rPr>
              <w:t>Participants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6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Eligibility criteria 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Subject to anti-ENA test -as described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</w:t>
            </w:r>
            <w:r w:rsidR="00B85603">
              <w:rPr>
                <w:rFonts w:cstheme="minorHAnsi"/>
                <w:lang w:val="en-GB"/>
                <w:color w:val="000000"/>
                <w:sz w:val="18"/>
              </w:rPr>
              <w:t xml:space="preserve">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7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On what basis potentially eligible participants were identified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(such as symptoms, results from previous tests, inclusion in registry)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695435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On basis of having a blood test – 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8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tabs>
                <w:tab w:val="left" w:pos="527"/>
              </w:tabs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Where and when potentially eligible participants were identified (setting, location and dates)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tabs>
                <w:tab w:val="left" w:pos="527"/>
              </w:tabs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From laboratory database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9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Whether participants formed a consecutive, random or convenience series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 xml:space="preserve">Consecutive 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>– 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i/>
                <w:color w:val="2E74B5"/>
                <w:sz w:val="18"/>
              </w:rPr>
              <w:t>Test methods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10a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Index test, in sufficient detail to allow replication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Details including manufacturer described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10b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Reference standard, in sufficient detail to allow replication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No reference or gold standard is available for this condition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pages 3, 6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11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Rationale for choosing the reference standard (if alternatives exist)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Key feature for this condition is interstitial lung disease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pages 3 to 6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12a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sz w:val="18"/>
              </w:rPr>
            </w:pPr>
            <w:r w:rsidRPr="008469D3">
              <w:rPr>
                <w:rFonts w:cstheme="minorHAnsi"/>
                <w:lang w:val="en-GB"/>
                <w:sz w:val="18"/>
              </w:rPr>
              <w:t xml:space="preserve">Definition of and rationale for test positivity cut-offs or result categories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sz w:val="18"/>
              </w:rPr>
            </w:pPr>
            <w:r>
              <w:rPr>
                <w:rFonts w:cstheme="minorHAnsi"/>
                <w:lang w:val="en-GB"/>
                <w:sz w:val="18"/>
              </w:rPr>
              <w:t>Described and done according to manufacturer</w:t>
            </w:r>
            <w:r w:rsidR="00695435">
              <w:rPr>
                <w:rFonts w:cstheme="minorHAnsi"/>
                <w:lang w:val="en-GB"/>
                <w:sz w:val="18"/>
              </w:rPr>
              <w:t xml:space="preserve"> – 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12b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sz w:val="18"/>
              </w:rPr>
            </w:pPr>
            <w:r w:rsidRPr="008469D3">
              <w:rPr>
                <w:rFonts w:cstheme="minorHAnsi"/>
                <w:lang w:val="en-GB"/>
                <w:sz w:val="18"/>
              </w:rPr>
              <w:t xml:space="preserve">Definition of and rationale for test positivity cut-offs or result categories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sz w:val="18"/>
              </w:rPr>
            </w:pPr>
            <w:r>
              <w:rPr>
                <w:rFonts w:cstheme="minorHAnsi"/>
                <w:lang w:val="en-GB"/>
                <w:sz w:val="18"/>
              </w:rPr>
              <w:t>As above</w:t>
            </w:r>
            <w:r w:rsidR="00695435">
              <w:rPr>
                <w:rFonts w:cstheme="minorHAnsi"/>
                <w:lang w:val="en-GB"/>
                <w:sz w:val="18"/>
              </w:rPr>
              <w:t xml:space="preserve"> – page 3 to 6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13a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Whether clinical information and reference standard results were available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to the performers/readers of the index test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Not applicable – data collected retrospectively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Del="0039653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Del="0039653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13b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Whether clinical information and index test results were available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to the assessors of the reference standard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Not applicable – data collected retrospectively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i/>
                <w:color w:val="2E74B5"/>
                <w:sz w:val="18"/>
              </w:rPr>
              <w:t>Analysis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14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Methods for estimating or comparing measures of diagnostic accuracy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Pages 3 to 7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15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How indeterminate index test or reference standard results were handled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Manufacturer thresholds used</w:t>
            </w:r>
            <w:r w:rsidR="00695435">
              <w:rPr>
                <w:rFonts w:cstheme="minorHAnsi"/>
                <w:lang w:val="en-GB"/>
                <w:color w:val="000000"/>
                <w:sz w:val="18"/>
              </w:rPr>
              <w:t xml:space="preserve"> – page 3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16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How missing data on the index test and reference standard were handled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Retrospective study</w:t>
            </w:r>
            <w:r w:rsidR="00B85603">
              <w:rPr>
                <w:rFonts w:cstheme="minorHAnsi"/>
                <w:lang w:val="en-GB"/>
                <w:color w:val="000000"/>
                <w:sz w:val="18"/>
              </w:rPr>
              <w:t xml:space="preserve"> – inclusion required performance of test</w:t>
            </w:r>
          </w:p>
        </w:tc>
      </w:tr>
      <w:tr w:rsidR="00D8602F" w:rsidRPr="008469D3" w:rsidTr="00D8602F">
        <w:trPr>
          <w:trHeight w:val="187"/>
        </w:trPr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17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sz w:val="18"/>
              </w:rPr>
              <w:t>Any analyses of variability in diagnostic accuracy, distinguishing pre-specified from exploratory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332A3" w:rsidP="00D8602F" w:rsidRPr="008469D3">
            <w:pPr>
              <w:rFonts w:cstheme="minorHAnsi"/>
              <w:rPr>
                <w:lang w:val="en-GB"/>
                <w:sz w:val="18"/>
              </w:rPr>
            </w:pPr>
            <w:r>
              <w:rPr>
                <w:rFonts w:cstheme="minorHAnsi"/>
                <w:lang w:val="en-GB"/>
                <w:sz w:val="18"/>
              </w:rPr>
              <w:t>Not applicable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18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sz w:val="18"/>
              </w:rPr>
              <w:t>Intended</w:t>
            </w: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 sample size and how it was determined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sz w:val="18"/>
              </w:rPr>
            </w:pPr>
            <w:r>
              <w:rPr>
                <w:rFonts w:cstheme="minorHAnsi"/>
                <w:lang w:val="en-GB"/>
                <w:sz w:val="18"/>
              </w:rPr>
              <w:t>Page 4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rFonts w:eastAsia="Times New Roman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000000"/>
                <w:sz w:val="18"/>
              </w:rPr>
            </w:pPr>
            <w:r>
              <w:rPr>
                <w:color w:val="000000"/>
                <w:rFonts w:eastAsia="Times New Roman"/>
                <w:sz w:val="18"/>
              </w:rPr>
              <w:br w:type="page"/>
            </w: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RESULTS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i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i/>
                <w:color w:val="2E74B5"/>
                <w:sz w:val="18"/>
              </w:rPr>
              <w:t>Participants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19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Flow of participants, using a diagram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Figure 1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20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color w:val="000000"/>
                <w:sz w:val="18"/>
              </w:rPr>
              <w:t>Baseline demographic and clinical characteristics of participants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Table 2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21a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Distribution of severity of disease in those with the target condition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Table 2 and supplementary table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b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21b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sz w:val="18"/>
              </w:rPr>
              <w:t>Distribution of</w:t>
            </w:r>
            <w:r w:rsidRPr="008469D3">
              <w:rPr>
                <w:rFonts w:cstheme="minorHAnsi"/>
                <w:lang w:val="en-GB"/>
                <w:color w:val="FF0000"/>
                <w:sz w:val="18"/>
              </w:rPr>
              <w:t xml:space="preserve"> </w:t>
            </w:r>
            <w:r w:rsidRPr="008469D3">
              <w:rPr>
                <w:rFonts w:cstheme="minorHAnsi"/>
                <w:lang w:val="en-GB"/>
                <w:color w:val="000000"/>
                <w:sz w:val="18"/>
              </w:rPr>
              <w:t>alternative diagnoses in those without the target condition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sz w:val="18"/>
              </w:rPr>
            </w:pPr>
            <w:r>
              <w:rPr>
                <w:rFonts w:cstheme="minorHAnsi"/>
                <w:lang w:val="en-GB"/>
                <w:sz w:val="18"/>
              </w:rPr>
              <w:t>Table 2 and supplementary table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22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sz w:val="18"/>
              </w:rPr>
            </w:pPr>
            <w:r w:rsidRPr="008469D3">
              <w:rPr>
                <w:rFonts w:cstheme="minorHAnsi"/>
                <w:lang w:val="en-GB"/>
                <w:sz w:val="18"/>
              </w:rPr>
              <w:t>Time interval and any clinical interventions between index test and reference standard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695435" w:rsidP="00D8602F" w:rsidRPr="008469D3">
            <w:pPr>
              <w:rFonts w:cstheme="minorHAnsi"/>
              <w:rPr>
                <w:lang w:val="en-GB"/>
                <w:sz w:val="18"/>
              </w:rPr>
            </w:pPr>
            <w:r>
              <w:rPr>
                <w:rFonts w:cstheme="minorHAnsi"/>
                <w:lang w:val="en-GB"/>
                <w:sz w:val="18"/>
              </w:rPr>
              <w:t>Not applicable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i/>
                <w:color w:val="2E74B5"/>
                <w:sz w:val="18"/>
              </w:rPr>
              <w:t>Test results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23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Cross tabulation of the index test results (or their distribution) 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by the results of the reference standard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B85603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 xml:space="preserve">Table 2 and </w:t>
            </w:r>
            <w:r w:rsidR="008F1BAF">
              <w:rPr>
                <w:rFonts w:cstheme="minorHAnsi"/>
                <w:lang w:val="en-GB"/>
                <w:color w:val="000000"/>
                <w:sz w:val="18"/>
              </w:rPr>
              <w:t>page 5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24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Estimates of diagnostic accuracy and their precision (such as 95% confidence intervals)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F1BAF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Page 6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25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Any adverse events from performing the index test or the reference standard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695435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Not applicable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DISCUSSION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i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26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Study limitations, </w:t>
            </w:r>
            <w:r w:rsidRPr="008469D3">
              <w:rPr>
                <w:rFonts w:cstheme="minorHAnsi"/>
                <w:lang w:val="en-GB"/>
                <w:sz w:val="18"/>
              </w:rPr>
              <w:t>including</w:t>
            </w:r>
            <w:r w:rsidRPr="008469D3">
              <w:rPr>
                <w:rFonts w:cstheme="minorHAnsi"/>
                <w:lang w:val="en-GB"/>
                <w:color w:val="000000"/>
                <w:sz w:val="18"/>
              </w:rPr>
              <w:t xml:space="preserve"> sources of potential bias, statistical uncertainty, and generalisability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F1BAF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Pages 7 to 9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2E74B5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27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Implications for practice, including the intended use and clinical role of the index test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8F1BAF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Pages 7 to 9</w:t>
            </w:r>
            <w:bookmarkStart w:id="0" w:name="_GoBack"/>
            <w:bookmarkEnd w:id="0"/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b/>
                <w:color w:val="2E74B5"/>
                <w:sz w:val="18"/>
              </w:rPr>
            </w:pPr>
            <w:r w:rsidRPr="008469D3">
              <w:rPr>
                <w:rFonts w:cstheme="minorHAnsi"/>
                <w:lang w:val="en-GB"/>
                <w:b/>
                <w:color w:val="2E74B5"/>
                <w:sz w:val="18"/>
              </w:rPr>
              <w:t>OTHER INFORMATION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i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D8602F" w:rsidP="00D8602F" w:rsidRPr="008469D3">
            <w:pPr>
              <w:rFonts w:cstheme="minorHAnsi"/>
              <w:rPr>
                <w:lang w:val="en-GB"/>
                <w:i/>
                <w:color w:val="000000"/>
                <w:sz w:val="18"/>
              </w:rPr>
            </w:pP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28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  <w:r w:rsidRPr="008469D3">
              <w:rPr>
                <w:rFonts w:cstheme="minorHAnsi"/>
                <w:lang w:val="en-GB"/>
                <w:color w:val="000000"/>
                <w:sz w:val="18"/>
              </w:rPr>
              <w:t>Registration number and name of registry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695435" w:rsidP="00D8602F" w:rsidRPr="008469D3">
            <w:pPr>
              <w:rFonts w:cstheme="minorHAnsi"/>
              <w:rPr>
                <w:lang w:val="en-GB"/>
                <w:color w:val="000000"/>
                <w:sz w:val="18"/>
              </w:rPr>
            </w:pPr>
            <w:r>
              <w:rPr>
                <w:rFonts w:cstheme="minorHAnsi"/>
                <w:lang w:val="en-GB"/>
                <w:color w:val="000000"/>
                <w:sz w:val="18"/>
              </w:rPr>
              <w:t>Not applicable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lang w:val="en-GB"/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29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  <w:r w:rsidRPr="008469D3">
              <w:rPr>
                <w:rFonts w:cstheme="minorHAnsi"/>
                <w:color w:val="000000"/>
                <w:sz w:val="18"/>
              </w:rPr>
              <w:t>Where the full study protocol can be accessed</w:t>
            </w:r>
          </w:p>
        </w:tc>
        <w:tc>
          <w:tcPr>
            <w:tcBorders>
              <w:top w:val="dotted" w:sz="6" w:color="5B9BD5" w:space="0" w:themeColor="accent1"/>
              <w:bottom w:val="dotted" w:sz="6" w:color="5B9BD5" w:space="0" w:themeColor="accent1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695435" w:rsidP="00D8602F" w:rsidRPr="008469D3">
            <w:pPr>
              <w:rFonts w:cstheme="minorHAnsi"/>
              <w:rPr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No protocol published</w:t>
            </w:r>
          </w:p>
        </w:tc>
      </w:tr>
      <w:tr w:rsidR="00D8602F" w:rsidRPr="008469D3" w:rsidTr="00D8602F"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nil" w:sz="0" w:color="auto" w:space="0"/>
              <w:left w:val="nil" w:sz="0" w:color="auto" w:space="0"/>
              <w:right w:val="dotted" w:sz="6" w:color="5B9BD5" w:space="0" w:themeColor="accent1"/>
            </w:tcBorders>
            <w:tcW w:w="1727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</w:p>
        </w:tc>
        <w:tc>
          <w:tcPr>
            <w:tcBorders>
              <w:top w:val="dotted" w:sz="6" w:color="5B9BD5" w:space="0" w:themeColor="accent1"/>
              <w:bottom w:val="nil" w:sz="0" w:color="auto" w:space="0"/>
              <w:left w:val="dotted" w:sz="6" w:color="5B9BD5" w:space="0" w:themeColor="accent1"/>
              <w:right w:val="dotted" w:sz="6" w:color="5B9BD5" w:space="0" w:themeColor="accent1"/>
            </w:tcBorders>
            <w:tcW w:w="518" w:type="dxa"/>
          </w:tcPr>
          <w:p w:rsidR="00D8602F" w:rsidRDefault="00D8602F" w:rsidP="00ED78B5" w:rsidRPr="0046212E">
            <w:pPr>
              <w:rFonts w:cstheme="minorHAnsi"/>
              <w:jc w:val="center"/>
              <w:spacing w:line="276" w:lineRule="auto"/>
              <w:rPr>
                <w:lang w:val="en-GB"/>
                <w:b/>
                <w:sz w:val="18"/>
              </w:rPr>
            </w:pPr>
            <w:r w:rsidRPr="0046212E">
              <w:rPr>
                <w:rFonts w:cstheme="minorHAnsi"/>
                <w:lang w:val="en-GB"/>
                <w:b/>
                <w:sz w:val="18"/>
              </w:rPr>
              <w:t>30</w:t>
            </w:r>
          </w:p>
        </w:tc>
        <w:tc>
          <w:tcPr>
            <w:tcBorders>
              <w:top w:val="dotted" w:sz="6" w:color="5B9BD5" w:space="0" w:themeColor="accent1"/>
              <w:bottom w:val="nil" w:sz="0" w:color="auto" w:space="0"/>
              <w:left w:val="dotted" w:sz="6" w:color="5B9BD5" w:space="0" w:themeColor="accent1"/>
              <w:right w:val="nil" w:sz="0" w:color="auto" w:space="0"/>
            </w:tcBorders>
            <w:tcW w:w="7282" w:type="dxa"/>
          </w:tcPr>
          <w:p w:rsidR="00D8602F" w:rsidRDefault="00D8602F" w:rsidP="00ED78B5" w:rsidRPr="008469D3">
            <w:pPr>
              <w:rFonts w:cstheme="minorHAnsi"/>
              <w:spacing w:line="276" w:lineRule="auto"/>
              <w:rPr>
                <w:color w:val="000000"/>
                <w:sz w:val="18"/>
              </w:rPr>
            </w:pPr>
            <w:r w:rsidRPr="008469D3">
              <w:rPr>
                <w:rFonts w:cstheme="minorHAnsi"/>
                <w:color w:val="000000"/>
                <w:sz w:val="18"/>
              </w:rPr>
              <w:t>Sources of funding and other support; role of funders</w:t>
            </w:r>
          </w:p>
        </w:tc>
        <w:tc>
          <w:tcPr>
            <w:tcBorders>
              <w:top w:val="dotted" w:sz="6" w:color="5B9BD5" w:space="0" w:themeColor="accent1"/>
              <w:bottom w:val="nil" w:sz="0" w:color="auto" w:space="0"/>
              <w:left w:val="dotted" w:sz="6" w:color="5B9BD5" w:space="0" w:themeColor="accent1"/>
              <w:right w:val="nil" w:sz="0" w:color="auto" w:space="0"/>
            </w:tcBorders>
            <w:tcW w:w="1692" w:type="dxa"/>
          </w:tcPr>
          <w:p w:rsidR="00D8602F" w:rsidRDefault="00695435" w:rsidP="00D8602F" w:rsidRPr="008469D3">
            <w:pPr>
              <w:rFonts w:cstheme="minorHAnsi"/>
              <w:rPr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No funding</w:t>
            </w:r>
          </w:p>
        </w:tc>
      </w:tr>
      <w:tr w:rsidR="00D8602F" w:rsidRPr="005320D9" w:rsidTr="00D8602F">
        <w:trPr>
          <w:trHeight w:val="70"/>
        </w:trPr>
        <w:tc>
          <w:tcPr>
            <w:tcMar>
              <w:left w:w="57" w:type="dxa"/>
              <w:right w:w="57" w:type="dxa"/>
            </w:tcMar>
            <w:tcBorders>
              <w:top w:val="nil" w:sz="0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tcW w:w="121" w:type="dxa"/>
          </w:tcPr>
          <w:p w:rsidR="00D8602F" w:rsidRDefault="00D8602F" w:rsidP="00ED78B5" w:rsidRPr="005320D9">
            <w:pPr>
              <w:rFonts w:cstheme="minorHAnsi"/>
              <w:rPr>
                <w:color w:val="000000"/>
                <w:sz w:val="8"/>
              </w:rPr>
            </w:pP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tcW w:w="1727" w:type="dxa"/>
          </w:tcPr>
          <w:p w:rsidR="00D8602F" w:rsidRDefault="00D8602F" w:rsidP="00ED78B5" w:rsidRPr="005320D9">
            <w:pPr>
              <w:rFonts w:cstheme="minorHAnsi"/>
              <w:rPr>
                <w:color w:val="000000"/>
                <w:sz w:val="8"/>
              </w:rPr>
            </w:pP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tcW w:w="518" w:type="dxa"/>
          </w:tcPr>
          <w:p w:rsidR="00D8602F" w:rsidRDefault="00D8602F" w:rsidP="00ED78B5" w:rsidRPr="005320D9">
            <w:pPr>
              <w:rFonts w:cstheme="minorHAnsi"/>
              <w:jc w:val="center"/>
              <w:rPr>
                <w:lang w:val="en-GB"/>
                <w:b/>
                <w:sz w:val="8"/>
              </w:rPr>
            </w:pP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tcW w:w="7282" w:type="dxa"/>
          </w:tcPr>
          <w:p w:rsidR="00D8602F" w:rsidRDefault="00D8602F" w:rsidP="00ED78B5" w:rsidRPr="005320D9">
            <w:pPr>
              <w:rFonts w:cstheme="minorHAnsi"/>
              <w:rPr>
                <w:color w:val="000000"/>
                <w:sz w:val="8"/>
              </w:rPr>
            </w:pP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nil" w:sz="0" w:color="auto" w:space="0"/>
            </w:tcBorders>
            <w:tcW w:w="1692" w:type="dxa"/>
          </w:tcPr>
          <w:p w:rsidR="00D8602F" w:rsidRDefault="00D8602F" w:rsidP="00D8602F" w:rsidRPr="005320D9">
            <w:pPr>
              <w:rFonts w:cstheme="minorHAnsi"/>
              <w:rPr>
                <w:color w:val="000000"/>
                <w:sz w:val="8"/>
              </w:rPr>
            </w:pPr>
          </w:p>
        </w:tc>
      </w:tr>
    </w:tbl>
    <w:p w:rsidR="008469D3" w:rsidRDefault="008469D3" w:rsidP="0018414D" w:rsidRPr="008469D3">
      <w:pPr>
        <w:sectPr w:rsidR="008469D3" w:rsidRPr="008469D3" w:rsidSect="0046212E">
          <w:docGrid w:linePitch="360"/>
          <w:footerReference r:id="rId8" w:type="default"/>
          <w:pgSz w:w="12240" w:h="15840"/>
          <w:pgMar w:left="1009" w:right="1151" w:top="794" w:bottom="340" w:header="289" w:footer="142" w:gutter="0"/>
          <w:cols w:space="708"/>
        </w:sectPr>
        <w:rPr>
          <w:spacing w:val="15"/>
          <w:color w:val="000000"/>
          <w:sz w:val="28"/>
          <w:szCs w:val="22"/>
          <w:caps/>
        </w:rPr>
      </w:pPr>
    </w:p>
    <w:p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t>STARD</w:t>
        <w:lastRenderedPageBreak/>
      </w:r>
      <w:r w:rsidR="00411FEB">
        <w:rPr>
          <w:sz w:val="28"/>
        </w:rPr>
        <w:t xml:space="preserve"> 2015</w:t>
      </w:r>
    </w:p>
    <w:p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:rsidR="00411FEB" w:rsidRDefault="007C5912" w:rsidP="00F31F82">
      <w:pPr>
        <w:pStyle w:val="Heading3"/>
      </w:pPr>
      <w:r>
        <w:t>Explanation</w:t>
      </w:r>
    </w:p>
    <w:p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:rsidR="00ED3C9B" w:rsidRDefault="00ED3C9B" w:rsidP="00F31F82" w:rsidRPr="00AF6395">
      <w:pPr>
        <w:jc w:val="both"/>
        <w:rPr>
          <w:color w:val="FF0000"/>
        </w:rPr>
      </w:pPr>
      <w:r>
        <w:rPr>
          <w:color w:val="000000"/>
        </w:rPr>
        <w:t>The test whose accuracy is evaluated is</w:t>
      </w:r>
      <w:r w:rsidRPr="00AF6395">
        <w:rPr>
          <w:color w:val="000000"/>
        </w:rPr>
        <w:t xml:space="preserve"> called </w:t>
      </w:r>
      <w:r>
        <w:rPr>
          <w:b/>
          <w:color w:val="000000"/>
        </w:rPr>
        <w:t>index test</w:t>
      </w:r>
      <w:r w:rsidRPr="00AF6395">
        <w:rPr>
          <w:b/>
          <w:color w:val="000000"/>
        </w:rPr>
        <w:t xml:space="preserve">. </w:t>
      </w:r>
      <w:r w:rsidR="008948E6">
        <w:rPr>
          <w:color w:val="000000"/>
        </w:rPr>
        <w:t xml:space="preserve">A study can evaluate the accuracy of one or more </w:t>
      </w:r>
      <w:r w:rsidR="00F31F82">
        <w:rPr>
          <w:color w:val="000000"/>
        </w:rPr>
        <w:t xml:space="preserve">index </w:t>
      </w:r>
      <w:r w:rsidR="008948E6">
        <w:rPr>
          <w:color w:val="000000"/>
        </w:rPr>
        <w:t xml:space="preserve">tests. </w:t>
      </w:r>
      <w:r w:rsidRPr="00AF6395">
        <w:rPr>
          <w:color w:val="000000"/>
        </w:rPr>
        <w:t xml:space="preserve">Evaluating the </w:t>
      </w:r>
      <w:r w:rsidR="007F576E">
        <w:rPr>
          <w:color w:val="000000"/>
        </w:rPr>
        <w:t>ability</w:t>
      </w:r>
      <w:r w:rsidRPr="00AF6395">
        <w:rPr>
          <w:color w:val="000000"/>
        </w:rPr>
        <w:t xml:space="preserve"> of a medical test </w:t>
      </w:r>
      <w:r w:rsidR="007F576E">
        <w:rPr>
          <w:color w:val="000000"/>
        </w:rPr>
        <w:t>to</w:t>
      </w:r>
      <w:r w:rsidRPr="00AF6395">
        <w:rPr>
          <w:color w:val="000000"/>
        </w:rPr>
        <w:t xml:space="preserve"> correctly classify patients is typically done by comparing the </w:t>
      </w:r>
      <w:r>
        <w:rPr>
          <w:color w:val="000000"/>
        </w:rPr>
        <w:t xml:space="preserve">distribution of the </w:t>
      </w:r>
      <w:r w:rsidRPr="00AF6395">
        <w:rPr>
          <w:color w:val="000000"/>
        </w:rPr>
        <w:t xml:space="preserve">index test results with those of the </w:t>
      </w:r>
      <w:r w:rsidRPr="00AF6395">
        <w:rPr>
          <w:b/>
          <w:color w:val="000000"/>
        </w:rPr>
        <w:t>reference standard</w:t>
      </w:r>
      <w:r w:rsidRPr="00AF6395">
        <w:rPr>
          <w:color w:val="000000"/>
        </w:rPr>
        <w:t>.</w:t>
      </w:r>
      <w:r w:rsidRPr="00AF6395">
        <w:rPr>
          <w:b/>
          <w:color w:val="000000"/>
        </w:rPr>
        <w:t xml:space="preserve"> </w:t>
      </w:r>
      <w:r w:rsidRPr="00AF6395">
        <w:rPr>
          <w:color w:val="000000"/>
        </w:rPr>
        <w:t>Th</w:t>
      </w:r>
      <w:r>
        <w:rPr>
          <w:color w:val="000000"/>
        </w:rPr>
        <w:t>e reference standard</w:t>
      </w:r>
      <w:r w:rsidRPr="00AF6395">
        <w:rPr>
          <w:b/>
          <w:color w:val="000000"/>
        </w:rPr>
        <w:t xml:space="preserve"> </w:t>
      </w:r>
      <w:r w:rsidRPr="00AF6395">
        <w:rPr>
          <w:color w:val="000000"/>
        </w:rPr>
        <w:t>is</w:t>
      </w:r>
      <w:r w:rsidRPr="00AF6395">
        <w:rPr>
          <w:b/>
          <w:color w:val="000000"/>
        </w:rPr>
        <w:t xml:space="preserve"> </w:t>
      </w:r>
      <w:r w:rsidRPr="00AF6395">
        <w:rPr>
          <w:color w:val="000000"/>
        </w:rPr>
        <w:t xml:space="preserve">the best available </w:t>
      </w:r>
      <w:r>
        <w:rPr>
          <w:color w:val="000000"/>
        </w:rPr>
        <w:t xml:space="preserve">method </w:t>
      </w:r>
      <w:r w:rsidRPr="00AF6395">
        <w:rPr>
          <w:color w:val="000000"/>
        </w:rPr>
        <w:t xml:space="preserve">for </w:t>
      </w:r>
      <w:r w:rsidR="0081183B">
        <w:rPr>
          <w:color w:val="000000"/>
        </w:rPr>
        <w:t>establishing the presence or absence of</w:t>
      </w:r>
      <w:r w:rsidR="0081183B" w:rsidRPr="00AF6395">
        <w:rPr>
          <w:color w:val="000000"/>
        </w:rPr>
        <w:t xml:space="preserve"> </w:t>
      </w:r>
      <w:r w:rsidRPr="00AF6395">
        <w:rPr>
          <w:color w:val="000000"/>
        </w:rPr>
        <w:t>the target condition</w:t>
      </w:r>
      <w:r>
        <w:rPr>
          <w:color w:val="000000"/>
        </w:rPr>
        <w:t xml:space="preserve">. </w:t>
      </w:r>
      <w:r w:rsidR="00F31F82">
        <w:rPr>
          <w:color w:val="000000"/>
        </w:rPr>
        <w:t>An accuracy study can rely on one or more reference standards.</w:t>
      </w:r>
    </w:p>
    <w:p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/>
        </w:rPr>
        <w:t>t</w:t>
      </w:r>
      <w:r w:rsidRPr="00AF6395">
        <w:rPr>
          <w:color w:val="000000"/>
        </w:rPr>
        <w:t xml:space="preserve">he </w:t>
      </w:r>
      <w:r>
        <w:rPr>
          <w:color w:val="000000"/>
        </w:rPr>
        <w:t>cross tabulation</w:t>
      </w:r>
      <w:r w:rsidRPr="00AF6395">
        <w:rPr>
          <w:color w:val="000000"/>
        </w:rPr>
        <w:t xml:space="preserve"> of the index test results against th</w:t>
      </w:r>
      <w:r>
        <w:rPr>
          <w:color w:val="000000"/>
        </w:rPr>
        <w:t>ose</w:t>
      </w:r>
      <w:r w:rsidRPr="00AF6395">
        <w:rPr>
          <w:color w:val="000000"/>
        </w:rPr>
        <w:t xml:space="preserve"> </w:t>
      </w:r>
      <w:r>
        <w:rPr>
          <w:color w:val="000000"/>
        </w:rPr>
        <w:t>of</w:t>
      </w:r>
      <w:r w:rsidRPr="00AF6395">
        <w:rPr>
          <w:color w:val="000000"/>
        </w:rPr>
        <w:t xml:space="preserve"> the reference standard</w:t>
      </w:r>
      <w:r>
        <w:rPr>
          <w:color w:val="000000"/>
        </w:rPr>
        <w:t xml:space="preserve"> </w:t>
      </w:r>
      <w:r w:rsidRPr="00AF6395">
        <w:rPr>
          <w:color w:val="000000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/>
        </w:rPr>
        <w:t>(</w:t>
      </w:r>
      <w:r>
        <w:rPr>
          <w:color w:val="000000"/>
        </w:rPr>
        <w:t>s</w:t>
      </w:r>
      <w:r w:rsidRPr="00AF6395">
        <w:rPr>
          <w:color w:val="000000"/>
        </w:rPr>
        <w:t>ome</w:t>
      </w:r>
      <w:r>
        <w:rPr>
          <w:color w:val="000000"/>
        </w:rPr>
        <w:t>times</w:t>
      </w:r>
      <w:r w:rsidRPr="00AF6395">
        <w:rPr>
          <w:color w:val="000000"/>
        </w:rPr>
        <w:t xml:space="preserve"> referred to as the </w:t>
      </w:r>
      <w:r w:rsidR="00431C4E">
        <w:rPr>
          <w:color w:val="000000"/>
        </w:rPr>
        <w:t xml:space="preserve">contingency or </w:t>
      </w:r>
      <w:r w:rsidRPr="00AF6395">
        <w:rPr>
          <w:color w:val="000000"/>
        </w:rPr>
        <w:t>“</w:t>
      </w:r>
      <w:r>
        <w:rPr>
          <w:color w:val="000000"/>
        </w:rPr>
        <w:t>2x2</w:t>
      </w:r>
      <w:r w:rsidR="00431C4E">
        <w:rPr>
          <w:color w:val="000000"/>
        </w:rPr>
        <w:t>”</w:t>
      </w:r>
      <w:r>
        <w:rPr>
          <w:color w:val="000000"/>
        </w:rPr>
        <w:t xml:space="preserve"> table</w:t>
      </w:r>
      <w:r w:rsidRPr="00AF6395">
        <w:rPr>
          <w:color w:val="000000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lang w:val="en-GB"/>
          <w:b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:rsidR="00070D8C" w:rsidRDefault="00070D8C" w:rsidP="00F31F82" w:rsidRPr="00411FEB">
      <w:pPr>
        <w:pStyle w:val="Heading3"/>
      </w:pPr>
      <w:r>
        <w:t>DEVELOPMENT</w:t>
      </w:r>
    </w:p>
    <w:p w:rsidR="00411FEB" w:rsidRDefault="00ED3C9B" w:rsidP="00F31F82" w:rsidRPr="00523AA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>
        <w:br/>
      </w:r>
      <w:r>
        <w:br/>
      </w:r>
      <w:r>
        <w:t xml:space="preserve">More information can be found on </w:t>
      </w:r>
      <w:hyperlink w:history="1" r:id="rId9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docGrid w:linePitch="360"/>
      <w:pgSz w:w="12240" w:h="15840"/>
      <w:pgMar w:left="1009" w:right="1009" w:top="794" w:bottom="403" w:header="289" w:footer="709" w:gutter="0"/>
      <w:type w:val="continuous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226" w:rsidRDefault="00C21226" w:rsidP="00757FD1">
      <w:pPr>
        <w:spacing w:after="0" w:line="240" w:lineRule="auto"/>
      </w:pPr>
      <w:r>
        <w:separator/>
      </w:r>
    </w:p>
  </w:endnote>
  <w:endnote w:type="continuationSeparator" w:id="0">
    <w:p w:rsidR="00C21226" w:rsidRDefault="00C21226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04F07852" wp14:editId="18448E6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226" w:rsidRDefault="00C21226" w:rsidP="00757FD1">
      <w:pPr>
        <w:spacing w:after="0" w:line="240" w:lineRule="auto"/>
      </w:pPr>
      <w:r>
        <w:separator/>
      </w:r>
    </w:p>
  </w:footnote>
  <w:footnote w:type="continuationSeparator" w:id="0">
    <w:p w:rsidR="00C21226" w:rsidRDefault="00C21226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BC17AAF"/>
    <w:tmpl w:val="0F8A8136"/>
    <w:lvl w:ilvl="0" w:tplc="A2FC350A">
      <w:numFmt w:val="bullet"/>
      <w:lvlText w:val="-"/>
      <w:start w:val="2"/>
      <w:rPr>
        <w:rFonts w:eastAsiaTheme="minorHAnsi"/>
        <w:rFonts w:cstheme="minorBidi"/>
        <w:rFonts w:hint="default"/>
        <w:rFonts w:ascii="Calibri" w:hAnsi="Calibri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A34A1"/>
  <w15:docId w15:val="{72E0EA02-2D45-4F7F-84FE-DC69DFB03B23}"/>
  <w:rsids>
    <w:rsidRoot val="00650885"/>
    <w:rsid val="0003566E"/>
    <w:rsid val="000515D4"/>
    <w:rsid val="00051C50"/>
    <w:rsid val="0006162A"/>
    <w:rsid val="00070D8C"/>
    <w:rsid val="000828BB"/>
    <w:rsid val="000855F2"/>
    <w:rsid val="000B01E8"/>
    <w:rsid val="000C0EE8"/>
    <w:rsid val="000E01A1"/>
    <w:rsid val="000E7F9E"/>
    <w:rsid val="00104FCD"/>
    <w:rsid val="00110EEC"/>
    <w:rsid val="00114C52"/>
    <w:rsid val="001306B6"/>
    <w:rsid val="00131B16"/>
    <w:rsid val="001476C3"/>
    <w:rsid val="00152CED"/>
    <w:rsid val="00155255"/>
    <w:rsid val="00155CAD"/>
    <w:rsid val="001709BF"/>
    <w:rsid val="0018414D"/>
    <w:rsid val="00191334"/>
    <w:rsid val="00196601"/>
    <w:rsid val="001C354E"/>
    <w:rsid val="001D419D"/>
    <w:rsid val="001E19DC"/>
    <w:rsid val="001E4D1F"/>
    <w:rsid val="001F0C5A"/>
    <w:rsid val="001F56D5"/>
    <w:rsid val="0022549C"/>
    <w:rsid val="00233AF8"/>
    <w:rsid val="002434E1"/>
    <w:rsid val="0025102C"/>
    <w:rsid val="002A0EDF"/>
    <w:rsid val="002B7708"/>
    <w:rsid val="002F4827"/>
    <w:rsid val="00306D8E"/>
    <w:rsid val="0031458D"/>
    <w:rsid val="00324CB5"/>
    <w:rsid val="00362362"/>
    <w:rsid val="00370FC4"/>
    <w:rsid val="0037210E"/>
    <w:rsid val="00375622"/>
    <w:rsid val="003757BF"/>
    <w:rsid val="00375A97"/>
    <w:rsid val="003A2EA1"/>
    <w:rsid val="003B0B2A"/>
    <w:rsid val="003C0AB8"/>
    <w:rsid val="003C5973"/>
    <w:rsid val="003D227B"/>
    <w:rsid val="003D4562"/>
    <w:rsid val="003E7EA2"/>
    <w:rsid val="0040769C"/>
    <w:rsid val="00411FEB"/>
    <w:rsid val="004228A5"/>
    <w:rsid val="00431C4E"/>
    <w:rsid val="004378AC"/>
    <w:rsid val="0045755E"/>
    <w:rsid val="0046212E"/>
    <w:rsid val="0046708E"/>
    <w:rsid val="0048337A"/>
    <w:rsid val="004B4880"/>
    <w:rsid val="004B4D5C"/>
    <w:rsid val="004C1583"/>
    <w:rsid val="004D5338"/>
    <w:rsid val="004F469C"/>
    <w:rsid val="00506083"/>
    <w:rsid val="00510595"/>
    <w:rsid val="00522330"/>
    <w:rsid val="00523AA2"/>
    <w:rsid val="00526A0E"/>
    <w:rsid val="005275DF"/>
    <w:rsid val="005320D9"/>
    <w:rsid val="00540AA2"/>
    <w:rsid val="00555F79"/>
    <w:rsid val="005738B6"/>
    <w:rsid val="00580FAC"/>
    <w:rsid val="00592149"/>
    <w:rsid val="005A18FF"/>
    <w:rsid val="00637958"/>
    <w:rsid val="00641E60"/>
    <w:rsid val="00650885"/>
    <w:rsid val="006571B2"/>
    <w:rsid val="0067786F"/>
    <w:rsid val="00686D6C"/>
    <w:rsid val="00695435"/>
    <w:rsid val="00696A6F"/>
    <w:rsid val="006A141F"/>
    <w:rsid val="006B25B4"/>
    <w:rsid val="006D27D9"/>
    <w:rsid val="006E6207"/>
    <w:rsid val="00727EB9"/>
    <w:rsid val="00732C47"/>
    <w:rsid val="00751BB1"/>
    <w:rsid val="00757FD1"/>
    <w:rsid val="007844C4"/>
    <w:rsid val="0079547A"/>
    <w:rsid val="0079584B"/>
    <w:rsid val="007A297D"/>
    <w:rsid val="007B29BD"/>
    <w:rsid val="007B7E41"/>
    <w:rsid val="007C5912"/>
    <w:rsid val="007F576E"/>
    <w:rsid val="00806612"/>
    <w:rsid val="0081183B"/>
    <w:rsid val="00826FA6"/>
    <w:rsid val="00831730"/>
    <w:rsid val="008332A3"/>
    <w:rsid val="0084546B"/>
    <w:rsid val="008469D3"/>
    <w:rsid val="00877F0A"/>
    <w:rsid val="008948E6"/>
    <w:rsid val="00894A1C"/>
    <w:rsid val="008B6CFB"/>
    <w:rsid val="008D54DA"/>
    <w:rsid val="008D58CC"/>
    <w:rsid val="008E4445"/>
    <w:rsid val="008F1BAF"/>
    <w:rsid val="009124CA"/>
    <w:rsid val="00913EAE"/>
    <w:rsid val="00914894"/>
    <w:rsid val="00941414"/>
    <w:rsid val="00944221"/>
    <w:rsid val="00954A68"/>
    <w:rsid val="009A1484"/>
    <w:rsid val="009A63F3"/>
    <w:rsid val="009A6AA9"/>
    <w:rsid val="009B41B0"/>
    <w:rsid val="009B4DFD"/>
    <w:rsid val="009C5E7C"/>
    <w:rsid val="009E18E2"/>
    <w:rsid val="00A03648"/>
    <w:rsid val="00A043D2"/>
    <w:rsid val="00A63FA9"/>
    <w:rsid val="00A807CA"/>
    <w:rsid val="00A84F5C"/>
    <w:rsid val="00A86360"/>
    <w:rsid val="00AA5FAA"/>
    <w:rsid val="00AD20C2"/>
    <w:rsid val="00B01FA8"/>
    <w:rsid val="00B30129"/>
    <w:rsid val="00B37D7D"/>
    <w:rsid val="00B44BD2"/>
    <w:rsid val="00B65AAD"/>
    <w:rsid val="00B727FD"/>
    <w:rsid val="00B82B57"/>
    <w:rsid val="00B85603"/>
    <w:rsid val="00B97669"/>
    <w:rsid val="00BA3C4A"/>
    <w:rsid val="00BA7D5D"/>
    <w:rsid val="00BA7F88"/>
    <w:rsid val="00BC26B8"/>
    <w:rsid val="00BC426D"/>
    <w:rsid val="00BD5E18"/>
    <w:rsid val="00BE760E"/>
    <w:rsid val="00BF3362"/>
    <w:rsid val="00C106F1"/>
    <w:rsid val="00C17FE3"/>
    <w:rsid val="00C21226"/>
    <w:rsid val="00CA7A4B"/>
    <w:rsid val="00CB5C8F"/>
    <w:rsid val="00CB5FD4"/>
    <w:rsid val="00CD7A3D"/>
    <w:rsid val="00D50E85"/>
    <w:rsid val="00D52094"/>
    <w:rsid val="00D8602F"/>
    <w:rsid val="00D86EB5"/>
    <w:rsid val="00D86FEE"/>
    <w:rsid val="00DF01DB"/>
    <w:rsid val="00E10B3B"/>
    <w:rsid val="00E149C3"/>
    <w:rsid val="00E14ECA"/>
    <w:rsid val="00E22149"/>
    <w:rsid val="00E27216"/>
    <w:rsid val="00E27BEB"/>
    <w:rsid val="00E369C4"/>
    <w:rsid val="00E56886"/>
    <w:rsid val="00E678CA"/>
    <w:rsid val="00E76C0A"/>
    <w:rsid val="00E96785"/>
    <w:rsid val="00EC26B5"/>
    <w:rsid val="00ED3C9B"/>
    <w:rsid val="00ED3FC2"/>
    <w:rsid val="00ED78B5"/>
    <w:rsid val="00EE7F52"/>
    <w:rsid val="00F23B78"/>
    <w:rsid val="00F25B4D"/>
    <w:rsid val="00F31F82"/>
    <w:rsid val="00F44B11"/>
    <w:rsid val="00F554CC"/>
    <w:rsid val="00F55FA3"/>
    <w:rsid val="00FA7052"/>
    <w:rsid val="00FB7540"/>
    <w:rsid val="00FC07B7"/>
    <w:rsid val="00FC7C79"/>
    <w:rsid val="00FF78B3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B8EFFA-EAB7-4849-A97E-67053223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Paresh Jobanputra</cp:lastModifiedBy>
  <cp:revision>4</cp:revision>
  <cp:lastPrinted>2015-10-23T10:20:00Z</cp:lastPrinted>
  <dcterms:created xsi:type="dcterms:W3CDTF">2016-01-11T09:42:00Z</dcterms:created>
  <dcterms:modified xsi:type="dcterms:W3CDTF">2017-12-17T17:01:00Z</dcterms:modified>
</cp:coreProperties>
</file>