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5F270" w14:textId="721796CF" w:rsidR="0021087A" w:rsidRDefault="0053473F">
      <w:r>
        <w:t>Supplementary</w:t>
      </w:r>
      <w:bookmarkStart w:id="0" w:name="_GoBack"/>
      <w:bookmarkEnd w:id="0"/>
      <w:r>
        <w:t xml:space="preserve"> File 1</w:t>
      </w:r>
      <w:r w:rsidR="00A12000">
        <w:t>: Definitions of postoperative surrogate measures for the ACTFAST-3 clinical trial.</w:t>
      </w:r>
    </w:p>
    <w:p w14:paraId="49F8FDCE" w14:textId="77777777" w:rsidR="00A12000" w:rsidRDefault="00A12000"/>
    <w:tbl>
      <w:tblPr>
        <w:tblStyle w:val="TableGrid"/>
        <w:tblW w:w="0" w:type="auto"/>
        <w:tblLook w:val="04A0" w:firstRow="1" w:lastRow="0" w:firstColumn="1" w:lastColumn="0" w:noHBand="0" w:noVBand="1"/>
      </w:tblPr>
      <w:tblGrid>
        <w:gridCol w:w="4675"/>
        <w:gridCol w:w="4675"/>
      </w:tblGrid>
      <w:tr w:rsidR="00405DAF" w14:paraId="0FE1F588" w14:textId="77777777" w:rsidTr="00405DAF">
        <w:tc>
          <w:tcPr>
            <w:tcW w:w="4675" w:type="dxa"/>
          </w:tcPr>
          <w:p w14:paraId="5E626FFA" w14:textId="77777777" w:rsidR="00405DAF" w:rsidRPr="00A12000" w:rsidRDefault="00405DAF">
            <w:pPr>
              <w:rPr>
                <w:rFonts w:ascii="Calibri" w:hAnsi="Calibri"/>
                <w:b/>
                <w:sz w:val="22"/>
                <w:szCs w:val="22"/>
              </w:rPr>
            </w:pPr>
            <w:r w:rsidRPr="00A12000">
              <w:rPr>
                <w:rFonts w:ascii="Calibri" w:hAnsi="Calibri"/>
                <w:b/>
                <w:sz w:val="22"/>
                <w:szCs w:val="22"/>
              </w:rPr>
              <w:t>Outcome</w:t>
            </w:r>
          </w:p>
        </w:tc>
        <w:tc>
          <w:tcPr>
            <w:tcW w:w="4675" w:type="dxa"/>
          </w:tcPr>
          <w:p w14:paraId="016EB9FE" w14:textId="77777777" w:rsidR="00405DAF" w:rsidRPr="00A12000" w:rsidRDefault="00405DAF">
            <w:pPr>
              <w:rPr>
                <w:rFonts w:ascii="Calibri" w:hAnsi="Calibri"/>
                <w:b/>
                <w:sz w:val="22"/>
                <w:szCs w:val="22"/>
              </w:rPr>
            </w:pPr>
            <w:r w:rsidRPr="00A12000">
              <w:rPr>
                <w:rFonts w:ascii="Calibri" w:hAnsi="Calibri"/>
                <w:b/>
                <w:sz w:val="22"/>
                <w:szCs w:val="22"/>
              </w:rPr>
              <w:t>Definition</w:t>
            </w:r>
          </w:p>
        </w:tc>
      </w:tr>
      <w:tr w:rsidR="00405DAF" w14:paraId="2A14DABE" w14:textId="77777777" w:rsidTr="00405DAF">
        <w:tc>
          <w:tcPr>
            <w:tcW w:w="4675" w:type="dxa"/>
          </w:tcPr>
          <w:p w14:paraId="6A9514FB" w14:textId="77777777" w:rsidR="00405DAF" w:rsidRPr="00A12000" w:rsidRDefault="00405DAF" w:rsidP="00D3479F">
            <w:pPr>
              <w:rPr>
                <w:rFonts w:ascii="Calibri" w:hAnsi="Calibri"/>
                <w:sz w:val="22"/>
                <w:szCs w:val="22"/>
              </w:rPr>
            </w:pPr>
            <w:r w:rsidRPr="00A12000">
              <w:rPr>
                <w:rFonts w:ascii="Calibri" w:eastAsia="Times New Roman" w:hAnsi="Calibri"/>
                <w:sz w:val="22"/>
                <w:szCs w:val="22"/>
              </w:rPr>
              <w:t xml:space="preserve">Postoperative acute </w:t>
            </w:r>
            <w:r w:rsidR="00D3479F" w:rsidRPr="00A12000">
              <w:rPr>
                <w:rFonts w:ascii="Calibri" w:eastAsia="Times New Roman" w:hAnsi="Calibri"/>
                <w:sz w:val="22"/>
                <w:szCs w:val="22"/>
              </w:rPr>
              <w:t>kidney injury</w:t>
            </w:r>
          </w:p>
        </w:tc>
        <w:tc>
          <w:tcPr>
            <w:tcW w:w="4675" w:type="dxa"/>
          </w:tcPr>
          <w:p w14:paraId="7452DDD3" w14:textId="62E557B8" w:rsidR="00405DAF" w:rsidRPr="00A12000" w:rsidRDefault="00A12000">
            <w:pPr>
              <w:rPr>
                <w:rFonts w:ascii="Calibri" w:eastAsia="Times New Roman" w:hAnsi="Calibri" w:cs="Times New Roman"/>
                <w:sz w:val="22"/>
                <w:szCs w:val="22"/>
              </w:rPr>
            </w:pPr>
            <w:r w:rsidRPr="00A12000">
              <w:rPr>
                <w:rFonts w:ascii="Calibri" w:eastAsia="Times New Roman" w:hAnsi="Calibri" w:cs="Arial"/>
                <w:color w:val="000000"/>
                <w:sz w:val="22"/>
                <w:szCs w:val="22"/>
                <w:shd w:val="clear" w:color="auto" w:fill="FFFFFF"/>
              </w:rPr>
              <w:t>D</w:t>
            </w:r>
            <w:r w:rsidR="00E62F02" w:rsidRPr="00E62F02">
              <w:rPr>
                <w:rFonts w:ascii="Calibri" w:eastAsia="Times New Roman" w:hAnsi="Calibri" w:cs="Arial"/>
                <w:color w:val="000000"/>
                <w:sz w:val="22"/>
                <w:szCs w:val="22"/>
                <w:shd w:val="clear" w:color="auto" w:fill="FFFFFF"/>
              </w:rPr>
              <w:t>iagnosed when any of the following three criteria are met: (i) an increase in serum creatinine by 50% compared with preoperative within 7 days, (ii) any increase in serum creatinine &gt; 0.3 mg/</w:t>
            </w:r>
            <w:proofErr w:type="spellStart"/>
            <w:r w:rsidR="00E62F02" w:rsidRPr="00E62F02">
              <w:rPr>
                <w:rFonts w:ascii="Calibri" w:eastAsia="Times New Roman" w:hAnsi="Calibri" w:cs="Arial"/>
                <w:color w:val="000000"/>
                <w:sz w:val="22"/>
                <w:szCs w:val="22"/>
                <w:shd w:val="clear" w:color="auto" w:fill="FFFFFF"/>
              </w:rPr>
              <w:t>dL</w:t>
            </w:r>
            <w:proofErr w:type="spellEnd"/>
            <w:r w:rsidR="00E62F02" w:rsidRPr="00E62F02">
              <w:rPr>
                <w:rFonts w:ascii="Calibri" w:eastAsia="Times New Roman" w:hAnsi="Calibri" w:cs="Arial"/>
                <w:color w:val="000000"/>
                <w:sz w:val="22"/>
                <w:szCs w:val="22"/>
                <w:shd w:val="clear" w:color="auto" w:fill="FFFFFF"/>
              </w:rPr>
              <w:t xml:space="preserve"> in 48 hours, or (iii) oliguria (urine output &lt;0.5 mL/kg/</w:t>
            </w:r>
            <w:proofErr w:type="spellStart"/>
            <w:r w:rsidR="00E62F02" w:rsidRPr="00E62F02">
              <w:rPr>
                <w:rFonts w:ascii="Calibri" w:eastAsia="Times New Roman" w:hAnsi="Calibri" w:cs="Arial"/>
                <w:color w:val="000000"/>
                <w:sz w:val="22"/>
                <w:szCs w:val="22"/>
                <w:shd w:val="clear" w:color="auto" w:fill="FFFFFF"/>
              </w:rPr>
              <w:t>hr</w:t>
            </w:r>
            <w:proofErr w:type="spellEnd"/>
            <w:r w:rsidR="00E62F02" w:rsidRPr="00E62F02">
              <w:rPr>
                <w:rFonts w:ascii="Calibri" w:eastAsia="Times New Roman" w:hAnsi="Calibri" w:cs="Arial"/>
                <w:color w:val="000000"/>
                <w:sz w:val="22"/>
                <w:szCs w:val="22"/>
                <w:shd w:val="clear" w:color="auto" w:fill="FFFFFF"/>
              </w:rPr>
              <w:t xml:space="preserve"> for 6-12 hours).</w:t>
            </w:r>
          </w:p>
        </w:tc>
      </w:tr>
      <w:tr w:rsidR="00405DAF" w14:paraId="1A0F078C" w14:textId="77777777" w:rsidTr="00405DAF">
        <w:tc>
          <w:tcPr>
            <w:tcW w:w="4675" w:type="dxa"/>
          </w:tcPr>
          <w:p w14:paraId="7D1884DC" w14:textId="77777777" w:rsidR="00405DAF" w:rsidRPr="00A12000" w:rsidRDefault="00405DAF">
            <w:pPr>
              <w:rPr>
                <w:rFonts w:ascii="Calibri" w:hAnsi="Calibri"/>
                <w:sz w:val="22"/>
                <w:szCs w:val="22"/>
              </w:rPr>
            </w:pPr>
            <w:r w:rsidRPr="00A12000">
              <w:rPr>
                <w:rFonts w:ascii="Calibri" w:eastAsia="Times New Roman" w:hAnsi="Calibri"/>
                <w:sz w:val="22"/>
                <w:szCs w:val="22"/>
              </w:rPr>
              <w:t>Postoperative atrial fibrillation</w:t>
            </w:r>
          </w:p>
        </w:tc>
        <w:tc>
          <w:tcPr>
            <w:tcW w:w="4675" w:type="dxa"/>
          </w:tcPr>
          <w:p w14:paraId="30ADE3F5" w14:textId="77777777" w:rsidR="00405DAF" w:rsidRPr="00A12000" w:rsidRDefault="00A56E3D">
            <w:pPr>
              <w:rPr>
                <w:rFonts w:ascii="Calibri" w:hAnsi="Calibri"/>
                <w:sz w:val="22"/>
                <w:szCs w:val="22"/>
              </w:rPr>
            </w:pPr>
            <w:r w:rsidRPr="00A12000">
              <w:rPr>
                <w:rFonts w:ascii="Calibri" w:hAnsi="Calibri"/>
                <w:sz w:val="22"/>
                <w:szCs w:val="22"/>
              </w:rPr>
              <w:t>New-onset postoperative atrial fibrillation in a patient with no prior history of atrial fibrillation.</w:t>
            </w:r>
          </w:p>
        </w:tc>
      </w:tr>
      <w:tr w:rsidR="00405DAF" w14:paraId="206FE203" w14:textId="77777777" w:rsidTr="00405DAF">
        <w:tc>
          <w:tcPr>
            <w:tcW w:w="4675" w:type="dxa"/>
          </w:tcPr>
          <w:p w14:paraId="4DA13BA8" w14:textId="77777777" w:rsidR="00405DAF" w:rsidRPr="00A12000" w:rsidRDefault="00405DAF">
            <w:pPr>
              <w:rPr>
                <w:rFonts w:ascii="Calibri" w:hAnsi="Calibri"/>
                <w:sz w:val="22"/>
                <w:szCs w:val="22"/>
              </w:rPr>
            </w:pPr>
            <w:r w:rsidRPr="00A12000">
              <w:rPr>
                <w:rFonts w:ascii="Calibri" w:eastAsia="Times New Roman" w:hAnsi="Calibri"/>
                <w:sz w:val="22"/>
                <w:szCs w:val="22"/>
              </w:rPr>
              <w:t>Postoperative respiratory failure</w:t>
            </w:r>
          </w:p>
        </w:tc>
        <w:tc>
          <w:tcPr>
            <w:tcW w:w="4675" w:type="dxa"/>
          </w:tcPr>
          <w:p w14:paraId="3D7A85E8" w14:textId="5902580E" w:rsidR="00405DAF" w:rsidRPr="00A12000" w:rsidRDefault="00A12000" w:rsidP="00E62F02">
            <w:pPr>
              <w:shd w:val="clear" w:color="auto" w:fill="FFFFFF"/>
              <w:rPr>
                <w:rFonts w:ascii="Calibri" w:eastAsia="Times New Roman" w:hAnsi="Calibri" w:cs="Segoe UI"/>
                <w:color w:val="212121"/>
                <w:sz w:val="22"/>
                <w:szCs w:val="22"/>
              </w:rPr>
            </w:pPr>
            <w:r w:rsidRPr="00A12000">
              <w:rPr>
                <w:rFonts w:ascii="Calibri" w:eastAsia="Times New Roman" w:hAnsi="Calibri" w:cs="Arial"/>
                <w:color w:val="000000"/>
                <w:sz w:val="22"/>
                <w:szCs w:val="22"/>
              </w:rPr>
              <w:t>M</w:t>
            </w:r>
            <w:r w:rsidR="00E62F02" w:rsidRPr="00E62F02">
              <w:rPr>
                <w:rFonts w:ascii="Calibri" w:eastAsia="Times New Roman" w:hAnsi="Calibri" w:cs="Arial"/>
                <w:color w:val="000000"/>
                <w:sz w:val="22"/>
                <w:szCs w:val="22"/>
              </w:rPr>
              <w:t>echanical ventilation for greater than 24 hours after surgery, or unplanned postoperative re-intubation and mechanical ventilation within 30 days of surgery.</w:t>
            </w:r>
          </w:p>
        </w:tc>
      </w:tr>
      <w:tr w:rsidR="00405DAF" w14:paraId="348F4BDF" w14:textId="77777777" w:rsidTr="00405DAF">
        <w:trPr>
          <w:trHeight w:val="350"/>
        </w:trPr>
        <w:tc>
          <w:tcPr>
            <w:tcW w:w="4675" w:type="dxa"/>
          </w:tcPr>
          <w:p w14:paraId="7F3E4090" w14:textId="77777777" w:rsidR="00405DAF" w:rsidRPr="00A12000" w:rsidRDefault="00405DAF">
            <w:pPr>
              <w:rPr>
                <w:rFonts w:ascii="Calibri" w:hAnsi="Calibri"/>
                <w:sz w:val="22"/>
                <w:szCs w:val="22"/>
              </w:rPr>
            </w:pPr>
            <w:r w:rsidRPr="00A12000">
              <w:rPr>
                <w:rFonts w:ascii="Calibri" w:eastAsia="Times New Roman" w:hAnsi="Calibri"/>
                <w:sz w:val="22"/>
                <w:szCs w:val="22"/>
              </w:rPr>
              <w:t>Postoperative delirium</w:t>
            </w:r>
          </w:p>
        </w:tc>
        <w:tc>
          <w:tcPr>
            <w:tcW w:w="4675" w:type="dxa"/>
          </w:tcPr>
          <w:p w14:paraId="123FCC5A" w14:textId="2A7F961D" w:rsidR="00405DAF" w:rsidRPr="00A12000" w:rsidRDefault="00487A1C" w:rsidP="00487A1C">
            <w:pPr>
              <w:rPr>
                <w:rFonts w:ascii="Calibri" w:eastAsia="Times New Roman" w:hAnsi="Calibri" w:cs="Times New Roman"/>
                <w:sz w:val="22"/>
                <w:szCs w:val="22"/>
              </w:rPr>
            </w:pPr>
            <w:r w:rsidRPr="00A12000">
              <w:rPr>
                <w:rFonts w:ascii="Calibri" w:eastAsia="Times New Roman" w:hAnsi="Calibri" w:cs="Times New Roman"/>
                <w:color w:val="000000"/>
                <w:sz w:val="22"/>
                <w:szCs w:val="22"/>
                <w:shd w:val="clear" w:color="auto" w:fill="FFFFFF"/>
              </w:rPr>
              <w:t>The presence of a</w:t>
            </w:r>
            <w:r w:rsidR="00575AF0" w:rsidRPr="00A12000">
              <w:rPr>
                <w:rFonts w:ascii="Calibri" w:eastAsia="Times New Roman" w:hAnsi="Calibri" w:cs="Times New Roman"/>
                <w:color w:val="000000"/>
                <w:sz w:val="22"/>
                <w:szCs w:val="22"/>
                <w:shd w:val="clear" w:color="auto" w:fill="FFFFFF"/>
              </w:rPr>
              <w:t xml:space="preserve"> positive CAM-ICU assessment</w:t>
            </w:r>
            <w:r w:rsidR="00A56E3D" w:rsidRPr="00A12000">
              <w:rPr>
                <w:rFonts w:ascii="Calibri" w:eastAsia="Times New Roman" w:hAnsi="Calibri" w:cs="Times New Roman"/>
                <w:color w:val="000000"/>
                <w:sz w:val="22"/>
                <w:szCs w:val="22"/>
                <w:shd w:val="clear" w:color="auto" w:fill="FFFFFF"/>
              </w:rPr>
              <w:t xml:space="preserve"> in the</w:t>
            </w:r>
            <w:r w:rsidRPr="00A12000">
              <w:rPr>
                <w:rFonts w:ascii="Calibri" w:eastAsia="Times New Roman" w:hAnsi="Calibri" w:cs="Times New Roman"/>
                <w:color w:val="000000"/>
                <w:sz w:val="22"/>
                <w:szCs w:val="22"/>
                <w:shd w:val="clear" w:color="auto" w:fill="FFFFFF"/>
              </w:rPr>
              <w:t xml:space="preserve"> postoperative period</w:t>
            </w:r>
          </w:p>
        </w:tc>
      </w:tr>
      <w:tr w:rsidR="00405DAF" w14:paraId="1B8ED7BA" w14:textId="77777777" w:rsidTr="00405DAF">
        <w:tc>
          <w:tcPr>
            <w:tcW w:w="4675" w:type="dxa"/>
          </w:tcPr>
          <w:p w14:paraId="785E862C" w14:textId="77777777" w:rsidR="00405DAF" w:rsidRPr="00A12000" w:rsidRDefault="00405DAF" w:rsidP="00405DAF">
            <w:pPr>
              <w:tabs>
                <w:tab w:val="left" w:pos="1000"/>
              </w:tabs>
              <w:rPr>
                <w:rFonts w:ascii="Calibri" w:hAnsi="Calibri"/>
                <w:sz w:val="22"/>
                <w:szCs w:val="22"/>
              </w:rPr>
            </w:pPr>
            <w:r w:rsidRPr="00A12000">
              <w:rPr>
                <w:rFonts w:ascii="Calibri" w:eastAsia="Times New Roman" w:hAnsi="Calibri"/>
                <w:sz w:val="22"/>
                <w:szCs w:val="22"/>
              </w:rPr>
              <w:t>Intraoperative awareness</w:t>
            </w:r>
          </w:p>
        </w:tc>
        <w:tc>
          <w:tcPr>
            <w:tcW w:w="4675" w:type="dxa"/>
          </w:tcPr>
          <w:p w14:paraId="5D4E2FDB" w14:textId="401DE4C9" w:rsidR="00405DAF" w:rsidRPr="00A12000" w:rsidRDefault="00C5016F" w:rsidP="00575AF0">
            <w:pPr>
              <w:rPr>
                <w:rFonts w:ascii="Calibri" w:eastAsia="Times New Roman" w:hAnsi="Calibri" w:cs="Times New Roman"/>
                <w:sz w:val="22"/>
                <w:szCs w:val="22"/>
              </w:rPr>
            </w:pPr>
            <w:r w:rsidRPr="00C5016F">
              <w:rPr>
                <w:rFonts w:ascii="Calibri" w:eastAsia="Times New Roman" w:hAnsi="Calibri" w:cs="Arial"/>
                <w:color w:val="000000"/>
                <w:sz w:val="22"/>
                <w:szCs w:val="22"/>
                <w:shd w:val="clear" w:color="auto" w:fill="FFFFFF"/>
              </w:rPr>
              <w:t xml:space="preserve">Awareness will be elicited with a modified question from the Brice questionnaire, inquiring whether </w:t>
            </w:r>
            <w:r w:rsidR="00575AF0" w:rsidRPr="00A12000">
              <w:rPr>
                <w:rFonts w:ascii="Calibri" w:eastAsia="Times New Roman" w:hAnsi="Calibri" w:cs="Arial"/>
                <w:color w:val="000000"/>
                <w:sz w:val="22"/>
                <w:szCs w:val="22"/>
                <w:shd w:val="clear" w:color="auto" w:fill="FFFFFF"/>
              </w:rPr>
              <w:t xml:space="preserve">the patient remembers </w:t>
            </w:r>
            <w:r w:rsidRPr="00C5016F">
              <w:rPr>
                <w:rFonts w:ascii="Calibri" w:eastAsia="Times New Roman" w:hAnsi="Calibri" w:cs="Arial"/>
                <w:color w:val="000000"/>
                <w:sz w:val="22"/>
                <w:szCs w:val="22"/>
                <w:shd w:val="clear" w:color="auto" w:fill="FFFFFF"/>
              </w:rPr>
              <w:t>anything between going to sleep at the beginning of the surgery and waking up at the end of the surgery. The awareness experience will be classified based on the Michigan Awareness Classification Instrument.</w:t>
            </w:r>
          </w:p>
        </w:tc>
      </w:tr>
      <w:tr w:rsidR="00405DAF" w14:paraId="758A8820" w14:textId="77777777" w:rsidTr="00405DAF">
        <w:tc>
          <w:tcPr>
            <w:tcW w:w="4675" w:type="dxa"/>
          </w:tcPr>
          <w:p w14:paraId="51F6B503" w14:textId="77777777" w:rsidR="00405DAF" w:rsidRPr="00A12000" w:rsidRDefault="00405DAF">
            <w:pPr>
              <w:rPr>
                <w:rFonts w:ascii="Calibri" w:hAnsi="Calibri"/>
                <w:sz w:val="22"/>
                <w:szCs w:val="22"/>
              </w:rPr>
            </w:pPr>
            <w:r w:rsidRPr="00A12000">
              <w:rPr>
                <w:rFonts w:ascii="Calibri" w:eastAsia="Times New Roman" w:hAnsi="Calibri"/>
                <w:sz w:val="22"/>
                <w:szCs w:val="22"/>
              </w:rPr>
              <w:t>Surgical site infection</w:t>
            </w:r>
          </w:p>
        </w:tc>
        <w:tc>
          <w:tcPr>
            <w:tcW w:w="4675" w:type="dxa"/>
          </w:tcPr>
          <w:p w14:paraId="008B2802" w14:textId="77777777" w:rsidR="00405DAF" w:rsidRPr="00A12000" w:rsidRDefault="00D327C9">
            <w:pPr>
              <w:rPr>
                <w:rFonts w:ascii="Calibri" w:hAnsi="Calibri"/>
                <w:sz w:val="22"/>
                <w:szCs w:val="22"/>
              </w:rPr>
            </w:pPr>
            <w:r w:rsidRPr="00A12000">
              <w:rPr>
                <w:rFonts w:ascii="Calibri" w:hAnsi="Calibri"/>
                <w:sz w:val="22"/>
                <w:szCs w:val="22"/>
              </w:rPr>
              <w:t>Infection at the site of surgery (assessed as part of the SATISFY-SOS registry)</w:t>
            </w:r>
          </w:p>
        </w:tc>
      </w:tr>
      <w:tr w:rsidR="00405DAF" w14:paraId="0D97C05F" w14:textId="77777777" w:rsidTr="00405DAF">
        <w:tc>
          <w:tcPr>
            <w:tcW w:w="4675" w:type="dxa"/>
          </w:tcPr>
          <w:p w14:paraId="5E9524B1" w14:textId="77777777" w:rsidR="00405DAF" w:rsidRPr="00A12000" w:rsidRDefault="00405DAF">
            <w:pPr>
              <w:rPr>
                <w:rFonts w:ascii="Calibri" w:hAnsi="Calibri"/>
                <w:sz w:val="22"/>
                <w:szCs w:val="22"/>
              </w:rPr>
            </w:pPr>
            <w:r w:rsidRPr="00A12000">
              <w:rPr>
                <w:rFonts w:ascii="Calibri" w:eastAsia="Times New Roman" w:hAnsi="Calibri"/>
                <w:sz w:val="22"/>
                <w:szCs w:val="22"/>
              </w:rPr>
              <w:t>30-day readmission</w:t>
            </w:r>
          </w:p>
        </w:tc>
        <w:tc>
          <w:tcPr>
            <w:tcW w:w="4675" w:type="dxa"/>
          </w:tcPr>
          <w:p w14:paraId="1AAD836E" w14:textId="77777777" w:rsidR="00405DAF" w:rsidRPr="00A12000" w:rsidRDefault="00D3479F" w:rsidP="00D3479F">
            <w:pPr>
              <w:rPr>
                <w:rFonts w:ascii="Calibri" w:hAnsi="Calibri"/>
                <w:sz w:val="22"/>
                <w:szCs w:val="22"/>
              </w:rPr>
            </w:pPr>
            <w:r w:rsidRPr="00A12000">
              <w:rPr>
                <w:rFonts w:ascii="Calibri" w:hAnsi="Calibri"/>
                <w:sz w:val="22"/>
                <w:szCs w:val="22"/>
              </w:rPr>
              <w:t xml:space="preserve">Readmission to the hospital within 30 days of </w:t>
            </w:r>
            <w:r w:rsidR="00392D26" w:rsidRPr="00A12000">
              <w:rPr>
                <w:rFonts w:ascii="Calibri" w:hAnsi="Calibri"/>
                <w:sz w:val="22"/>
                <w:szCs w:val="22"/>
              </w:rPr>
              <w:t xml:space="preserve">initial </w:t>
            </w:r>
            <w:r w:rsidRPr="00A12000">
              <w:rPr>
                <w:rFonts w:ascii="Calibri" w:hAnsi="Calibri"/>
                <w:sz w:val="22"/>
                <w:szCs w:val="22"/>
              </w:rPr>
              <w:t>surgery</w:t>
            </w:r>
          </w:p>
        </w:tc>
      </w:tr>
      <w:tr w:rsidR="00405DAF" w14:paraId="70563B5C" w14:textId="77777777" w:rsidTr="00405DAF">
        <w:tc>
          <w:tcPr>
            <w:tcW w:w="4675" w:type="dxa"/>
          </w:tcPr>
          <w:p w14:paraId="11BBB2D6" w14:textId="77777777" w:rsidR="00405DAF" w:rsidRPr="00A12000" w:rsidRDefault="00405DAF">
            <w:pPr>
              <w:rPr>
                <w:rFonts w:ascii="Calibri" w:hAnsi="Calibri"/>
                <w:sz w:val="22"/>
                <w:szCs w:val="22"/>
              </w:rPr>
            </w:pPr>
            <w:r w:rsidRPr="00A12000">
              <w:rPr>
                <w:rFonts w:ascii="Calibri" w:eastAsia="Times New Roman" w:hAnsi="Calibri"/>
                <w:sz w:val="22"/>
                <w:szCs w:val="22"/>
              </w:rPr>
              <w:t>30-day mortality</w:t>
            </w:r>
          </w:p>
        </w:tc>
        <w:tc>
          <w:tcPr>
            <w:tcW w:w="4675" w:type="dxa"/>
          </w:tcPr>
          <w:p w14:paraId="68C889AA" w14:textId="3E2FD407" w:rsidR="00405DAF" w:rsidRPr="00A12000" w:rsidRDefault="007705FE" w:rsidP="00D3479F">
            <w:pPr>
              <w:rPr>
                <w:rFonts w:ascii="Calibri" w:eastAsia="Times New Roman" w:hAnsi="Calibri" w:cs="Times New Roman"/>
                <w:sz w:val="22"/>
                <w:szCs w:val="22"/>
              </w:rPr>
            </w:pPr>
            <w:r w:rsidRPr="00A12000">
              <w:rPr>
                <w:rFonts w:ascii="Calibri" w:eastAsia="Times New Roman" w:hAnsi="Calibri" w:cs="Arial"/>
                <w:color w:val="000000"/>
                <w:sz w:val="22"/>
                <w:szCs w:val="22"/>
                <w:shd w:val="clear" w:color="auto" w:fill="FFFFFF"/>
              </w:rPr>
              <w:t>D</w:t>
            </w:r>
            <w:r w:rsidR="00C5016F" w:rsidRPr="00C5016F">
              <w:rPr>
                <w:rFonts w:ascii="Calibri" w:eastAsia="Times New Roman" w:hAnsi="Calibri" w:cs="Arial"/>
                <w:color w:val="000000"/>
                <w:sz w:val="22"/>
                <w:szCs w:val="22"/>
                <w:shd w:val="clear" w:color="auto" w:fill="FFFFFF"/>
              </w:rPr>
              <w:t>eath of any cause occurring in or out of the hospital, within 30 days of the index surgery</w:t>
            </w:r>
          </w:p>
        </w:tc>
      </w:tr>
    </w:tbl>
    <w:p w14:paraId="37303B3F" w14:textId="77777777" w:rsidR="0021087A" w:rsidRDefault="0021087A"/>
    <w:sectPr w:rsidR="0021087A" w:rsidSect="00EE3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491E1" w14:textId="77777777" w:rsidR="0053473F" w:rsidRDefault="0053473F" w:rsidP="0053473F">
      <w:r>
        <w:separator/>
      </w:r>
    </w:p>
  </w:endnote>
  <w:endnote w:type="continuationSeparator" w:id="0">
    <w:p w14:paraId="3B3F8C4E" w14:textId="77777777" w:rsidR="0053473F" w:rsidRDefault="0053473F" w:rsidP="0053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AF165" w14:textId="77777777" w:rsidR="0053473F" w:rsidRDefault="0053473F" w:rsidP="0053473F">
      <w:r>
        <w:separator/>
      </w:r>
    </w:p>
  </w:footnote>
  <w:footnote w:type="continuationSeparator" w:id="0">
    <w:p w14:paraId="41B14C87" w14:textId="77777777" w:rsidR="0053473F" w:rsidRDefault="0053473F" w:rsidP="00534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7A"/>
    <w:rsid w:val="00004690"/>
    <w:rsid w:val="000B3804"/>
    <w:rsid w:val="000F4189"/>
    <w:rsid w:val="00140276"/>
    <w:rsid w:val="0016406F"/>
    <w:rsid w:val="001D7CAA"/>
    <w:rsid w:val="001D7E04"/>
    <w:rsid w:val="0021087A"/>
    <w:rsid w:val="002E30DF"/>
    <w:rsid w:val="002E5810"/>
    <w:rsid w:val="00303B11"/>
    <w:rsid w:val="00307007"/>
    <w:rsid w:val="00311784"/>
    <w:rsid w:val="00392D26"/>
    <w:rsid w:val="003E6B88"/>
    <w:rsid w:val="00405DAF"/>
    <w:rsid w:val="00453D46"/>
    <w:rsid w:val="00470E4C"/>
    <w:rsid w:val="00487A1C"/>
    <w:rsid w:val="005126BF"/>
    <w:rsid w:val="0053473F"/>
    <w:rsid w:val="00553918"/>
    <w:rsid w:val="00575AF0"/>
    <w:rsid w:val="005F3A3F"/>
    <w:rsid w:val="00641E33"/>
    <w:rsid w:val="00646141"/>
    <w:rsid w:val="00685F55"/>
    <w:rsid w:val="006F5A34"/>
    <w:rsid w:val="00700952"/>
    <w:rsid w:val="00710FFB"/>
    <w:rsid w:val="0072594F"/>
    <w:rsid w:val="007314D3"/>
    <w:rsid w:val="00735D21"/>
    <w:rsid w:val="007705FE"/>
    <w:rsid w:val="007C180A"/>
    <w:rsid w:val="00856628"/>
    <w:rsid w:val="008813CA"/>
    <w:rsid w:val="008917CD"/>
    <w:rsid w:val="0089623C"/>
    <w:rsid w:val="00A12000"/>
    <w:rsid w:val="00A445FA"/>
    <w:rsid w:val="00A56E3D"/>
    <w:rsid w:val="00A6512E"/>
    <w:rsid w:val="00A81043"/>
    <w:rsid w:val="00A92F21"/>
    <w:rsid w:val="00B077AF"/>
    <w:rsid w:val="00B3164F"/>
    <w:rsid w:val="00B57401"/>
    <w:rsid w:val="00B8704C"/>
    <w:rsid w:val="00B92453"/>
    <w:rsid w:val="00BA39A4"/>
    <w:rsid w:val="00BB4532"/>
    <w:rsid w:val="00C3287A"/>
    <w:rsid w:val="00C5016F"/>
    <w:rsid w:val="00C55F01"/>
    <w:rsid w:val="00C728F4"/>
    <w:rsid w:val="00CC7F41"/>
    <w:rsid w:val="00D327C9"/>
    <w:rsid w:val="00D3479F"/>
    <w:rsid w:val="00D50312"/>
    <w:rsid w:val="00D63C9D"/>
    <w:rsid w:val="00DF3EDB"/>
    <w:rsid w:val="00DF5E16"/>
    <w:rsid w:val="00E1334B"/>
    <w:rsid w:val="00E22402"/>
    <w:rsid w:val="00E307F4"/>
    <w:rsid w:val="00E62F02"/>
    <w:rsid w:val="00E7603D"/>
    <w:rsid w:val="00E7648D"/>
    <w:rsid w:val="00EE3E27"/>
    <w:rsid w:val="00EF4688"/>
    <w:rsid w:val="00F1264F"/>
    <w:rsid w:val="00F41EFE"/>
    <w:rsid w:val="00F57FAB"/>
    <w:rsid w:val="00F6754E"/>
    <w:rsid w:val="00FB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7F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73F"/>
    <w:pPr>
      <w:tabs>
        <w:tab w:val="center" w:pos="4513"/>
        <w:tab w:val="right" w:pos="9026"/>
      </w:tabs>
    </w:pPr>
  </w:style>
  <w:style w:type="character" w:customStyle="1" w:styleId="HeaderChar">
    <w:name w:val="Header Char"/>
    <w:basedOn w:val="DefaultParagraphFont"/>
    <w:link w:val="Header"/>
    <w:uiPriority w:val="99"/>
    <w:rsid w:val="0053473F"/>
  </w:style>
  <w:style w:type="paragraph" w:styleId="Footer">
    <w:name w:val="footer"/>
    <w:basedOn w:val="Normal"/>
    <w:link w:val="FooterChar"/>
    <w:uiPriority w:val="99"/>
    <w:unhideWhenUsed/>
    <w:rsid w:val="0053473F"/>
    <w:pPr>
      <w:tabs>
        <w:tab w:val="center" w:pos="4513"/>
        <w:tab w:val="right" w:pos="9026"/>
      </w:tabs>
    </w:pPr>
  </w:style>
  <w:style w:type="character" w:customStyle="1" w:styleId="FooterChar">
    <w:name w:val="Footer Char"/>
    <w:basedOn w:val="DefaultParagraphFont"/>
    <w:link w:val="Footer"/>
    <w:uiPriority w:val="99"/>
    <w:rsid w:val="0053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2334">
      <w:bodyDiv w:val="1"/>
      <w:marLeft w:val="0"/>
      <w:marRight w:val="0"/>
      <w:marTop w:val="0"/>
      <w:marBottom w:val="0"/>
      <w:divBdr>
        <w:top w:val="none" w:sz="0" w:space="0" w:color="auto"/>
        <w:left w:val="none" w:sz="0" w:space="0" w:color="auto"/>
        <w:bottom w:val="none" w:sz="0" w:space="0" w:color="auto"/>
        <w:right w:val="none" w:sz="0" w:space="0" w:color="auto"/>
      </w:divBdr>
    </w:div>
    <w:div w:id="270892640">
      <w:bodyDiv w:val="1"/>
      <w:marLeft w:val="0"/>
      <w:marRight w:val="0"/>
      <w:marTop w:val="0"/>
      <w:marBottom w:val="0"/>
      <w:divBdr>
        <w:top w:val="none" w:sz="0" w:space="0" w:color="auto"/>
        <w:left w:val="none" w:sz="0" w:space="0" w:color="auto"/>
        <w:bottom w:val="none" w:sz="0" w:space="0" w:color="auto"/>
        <w:right w:val="none" w:sz="0" w:space="0" w:color="auto"/>
      </w:divBdr>
    </w:div>
    <w:div w:id="307058286">
      <w:bodyDiv w:val="1"/>
      <w:marLeft w:val="0"/>
      <w:marRight w:val="0"/>
      <w:marTop w:val="0"/>
      <w:marBottom w:val="0"/>
      <w:divBdr>
        <w:top w:val="none" w:sz="0" w:space="0" w:color="auto"/>
        <w:left w:val="none" w:sz="0" w:space="0" w:color="auto"/>
        <w:bottom w:val="none" w:sz="0" w:space="0" w:color="auto"/>
        <w:right w:val="none" w:sz="0" w:space="0" w:color="auto"/>
      </w:divBdr>
    </w:div>
    <w:div w:id="396906162">
      <w:bodyDiv w:val="1"/>
      <w:marLeft w:val="0"/>
      <w:marRight w:val="0"/>
      <w:marTop w:val="0"/>
      <w:marBottom w:val="0"/>
      <w:divBdr>
        <w:top w:val="none" w:sz="0" w:space="0" w:color="auto"/>
        <w:left w:val="none" w:sz="0" w:space="0" w:color="auto"/>
        <w:bottom w:val="none" w:sz="0" w:space="0" w:color="auto"/>
        <w:right w:val="none" w:sz="0" w:space="0" w:color="auto"/>
      </w:divBdr>
    </w:div>
    <w:div w:id="494221682">
      <w:bodyDiv w:val="1"/>
      <w:marLeft w:val="0"/>
      <w:marRight w:val="0"/>
      <w:marTop w:val="0"/>
      <w:marBottom w:val="0"/>
      <w:divBdr>
        <w:top w:val="none" w:sz="0" w:space="0" w:color="auto"/>
        <w:left w:val="none" w:sz="0" w:space="0" w:color="auto"/>
        <w:bottom w:val="none" w:sz="0" w:space="0" w:color="auto"/>
        <w:right w:val="none" w:sz="0" w:space="0" w:color="auto"/>
      </w:divBdr>
    </w:div>
    <w:div w:id="700593594">
      <w:bodyDiv w:val="1"/>
      <w:marLeft w:val="0"/>
      <w:marRight w:val="0"/>
      <w:marTop w:val="0"/>
      <w:marBottom w:val="0"/>
      <w:divBdr>
        <w:top w:val="none" w:sz="0" w:space="0" w:color="auto"/>
        <w:left w:val="none" w:sz="0" w:space="0" w:color="auto"/>
        <w:bottom w:val="none" w:sz="0" w:space="0" w:color="auto"/>
        <w:right w:val="none" w:sz="0" w:space="0" w:color="auto"/>
      </w:divBdr>
    </w:div>
    <w:div w:id="1126239115">
      <w:bodyDiv w:val="1"/>
      <w:marLeft w:val="0"/>
      <w:marRight w:val="0"/>
      <w:marTop w:val="0"/>
      <w:marBottom w:val="0"/>
      <w:divBdr>
        <w:top w:val="none" w:sz="0" w:space="0" w:color="auto"/>
        <w:left w:val="none" w:sz="0" w:space="0" w:color="auto"/>
        <w:bottom w:val="none" w:sz="0" w:space="0" w:color="auto"/>
        <w:right w:val="none" w:sz="0" w:space="0" w:color="auto"/>
      </w:divBdr>
    </w:div>
    <w:div w:id="1493133914">
      <w:bodyDiv w:val="1"/>
      <w:marLeft w:val="0"/>
      <w:marRight w:val="0"/>
      <w:marTop w:val="0"/>
      <w:marBottom w:val="0"/>
      <w:divBdr>
        <w:top w:val="none" w:sz="0" w:space="0" w:color="auto"/>
        <w:left w:val="none" w:sz="0" w:space="0" w:color="auto"/>
        <w:bottom w:val="none" w:sz="0" w:space="0" w:color="auto"/>
        <w:right w:val="none" w:sz="0" w:space="0" w:color="auto"/>
      </w:divBdr>
      <w:divsChild>
        <w:div w:id="2066754089">
          <w:marLeft w:val="0"/>
          <w:marRight w:val="0"/>
          <w:marTop w:val="0"/>
          <w:marBottom w:val="0"/>
          <w:divBdr>
            <w:top w:val="none" w:sz="0" w:space="0" w:color="auto"/>
            <w:left w:val="none" w:sz="0" w:space="0" w:color="auto"/>
            <w:bottom w:val="none" w:sz="0" w:space="0" w:color="auto"/>
            <w:right w:val="none" w:sz="0" w:space="0" w:color="auto"/>
          </w:divBdr>
        </w:div>
        <w:div w:id="60832110">
          <w:marLeft w:val="0"/>
          <w:marRight w:val="0"/>
          <w:marTop w:val="0"/>
          <w:marBottom w:val="0"/>
          <w:divBdr>
            <w:top w:val="none" w:sz="0" w:space="0" w:color="auto"/>
            <w:left w:val="none" w:sz="0" w:space="0" w:color="auto"/>
            <w:bottom w:val="none" w:sz="0" w:space="0" w:color="auto"/>
            <w:right w:val="none" w:sz="0" w:space="0" w:color="auto"/>
          </w:divBdr>
        </w:div>
      </w:divsChild>
    </w:div>
    <w:div w:id="1750344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Anesthesiology, Washington University</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Gregory</dc:creator>
  <cp:keywords/>
  <dc:description/>
  <cp:lastModifiedBy>Mahnoor Butt</cp:lastModifiedBy>
  <cp:revision>3</cp:revision>
  <dcterms:created xsi:type="dcterms:W3CDTF">2018-07-10T15:34:00Z</dcterms:created>
  <dcterms:modified xsi:type="dcterms:W3CDTF">2018-07-17T08:25:00Z</dcterms:modified>
</cp:coreProperties>
</file>