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79" w:rsidRDefault="00CE2F79" w:rsidP="00CE2F79">
      <w:pPr>
        <w:rPr>
          <w:rStyle w:val="Strong"/>
          <w:rFonts w:cs="Arial"/>
          <w:color w:val="333333"/>
          <w:sz w:val="18"/>
          <w:szCs w:val="18"/>
          <w:shd w:val="clear" w:color="auto" w:fill="FFFFFF"/>
        </w:rPr>
      </w:pPr>
    </w:p>
    <w:p w:rsidR="00CE2F79" w:rsidRDefault="00CE2F79" w:rsidP="00CE2F79">
      <w:pPr>
        <w:rPr>
          <w:rStyle w:val="Strong"/>
          <w:rFonts w:cs="Arial"/>
          <w:color w:val="333333"/>
          <w:sz w:val="18"/>
          <w:szCs w:val="18"/>
          <w:shd w:val="clear" w:color="auto" w:fill="FFFFFF"/>
        </w:rPr>
      </w:pPr>
    </w:p>
    <w:p w:rsidR="00CE2F79" w:rsidRDefault="00CE2F79" w:rsidP="00CE2F79">
      <w:pPr>
        <w:rPr>
          <w:rStyle w:val="Strong"/>
          <w:rFonts w:cs="Arial"/>
          <w:color w:val="333333"/>
          <w:sz w:val="18"/>
          <w:szCs w:val="18"/>
          <w:shd w:val="clear" w:color="auto" w:fill="FFFFFF"/>
        </w:rPr>
      </w:pPr>
      <w:r>
        <w:rPr>
          <w:b/>
          <w:noProof/>
          <w:lang w:val="en-GB" w:eastAsia="en-GB"/>
        </w:rPr>
        <w:drawing>
          <wp:inline distT="0" distB="0" distL="0" distR="0" wp14:anchorId="5717F0BD" wp14:editId="4C7B62F1">
            <wp:extent cx="5731510" cy="3734667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emental_Fig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79" w:rsidRDefault="00CE2F79" w:rsidP="00CE2F79">
      <w:pPr>
        <w:rPr>
          <w:rStyle w:val="Strong"/>
          <w:rFonts w:cs="Arial"/>
          <w:color w:val="333333"/>
          <w:sz w:val="18"/>
          <w:szCs w:val="18"/>
          <w:shd w:val="clear" w:color="auto" w:fill="FFFFFF"/>
        </w:rPr>
      </w:pPr>
    </w:p>
    <w:p w:rsidR="00CE2F79" w:rsidRPr="00976FCE" w:rsidRDefault="00CE2F79" w:rsidP="00CE2F79">
      <w:pPr>
        <w:rPr>
          <w:sz w:val="18"/>
          <w:szCs w:val="18"/>
        </w:rPr>
      </w:pPr>
      <w:bookmarkStart w:id="0" w:name="_GoBack"/>
      <w:bookmarkEnd w:id="0"/>
      <w:r w:rsidRPr="007B5F20">
        <w:rPr>
          <w:rStyle w:val="Strong"/>
          <w:rFonts w:cs="Arial"/>
          <w:color w:val="333333"/>
          <w:sz w:val="18"/>
          <w:szCs w:val="18"/>
          <w:shd w:val="clear" w:color="auto" w:fill="FFFFFF"/>
        </w:rPr>
        <w:t>Supplementary</w:t>
      </w:r>
      <w:r w:rsidRPr="00976FCE">
        <w:rPr>
          <w:rStyle w:val="Strong"/>
          <w:rFonts w:cs="Arial"/>
          <w:color w:val="333333"/>
          <w:sz w:val="18"/>
          <w:szCs w:val="18"/>
          <w:shd w:val="clear" w:color="auto" w:fill="FFFFFF"/>
        </w:rPr>
        <w:t xml:space="preserve"> Figure 1. Western blot results with the ab9052 antibody. </w:t>
      </w:r>
    </w:p>
    <w:p w:rsidR="00CE2F79" w:rsidRPr="00976FCE" w:rsidRDefault="00CE2F79" w:rsidP="00CE2F79">
      <w:pPr>
        <w:rPr>
          <w:sz w:val="18"/>
          <w:szCs w:val="18"/>
        </w:rPr>
      </w:pPr>
      <w:r w:rsidRPr="00976FCE">
        <w:rPr>
          <w:sz w:val="18"/>
          <w:szCs w:val="18"/>
        </w:rPr>
        <w:t xml:space="preserve">The affinity of the </w:t>
      </w:r>
      <w:proofErr w:type="spellStart"/>
      <w:r w:rsidRPr="00976FCE">
        <w:rPr>
          <w:sz w:val="18"/>
          <w:szCs w:val="18"/>
        </w:rPr>
        <w:t>Abcam</w:t>
      </w:r>
      <w:proofErr w:type="spellEnd"/>
      <w:r w:rsidRPr="00976FCE">
        <w:rPr>
          <w:sz w:val="18"/>
          <w:szCs w:val="18"/>
        </w:rPr>
        <w:t xml:space="preserve"> ab9052 anti-H4K20me2 antibody (lot #</w:t>
      </w:r>
      <w:r w:rsidRPr="00976FCE">
        <w:rPr>
          <w:rFonts w:cs="Arial"/>
          <w:sz w:val="18"/>
          <w:szCs w:val="18"/>
        </w:rPr>
        <w:t>GR99672-1</w:t>
      </w:r>
      <w:r w:rsidRPr="00976FCE">
        <w:rPr>
          <w:sz w:val="18"/>
          <w:szCs w:val="18"/>
        </w:rPr>
        <w:t xml:space="preserve">) appears altered compared to the original antibody.  A) The test of </w:t>
      </w:r>
      <w:proofErr w:type="spellStart"/>
      <w:r w:rsidRPr="00976FCE">
        <w:rPr>
          <w:sz w:val="18"/>
          <w:szCs w:val="18"/>
        </w:rPr>
        <w:t>Abcam</w:t>
      </w:r>
      <w:proofErr w:type="spellEnd"/>
      <w:r w:rsidRPr="00976FCE">
        <w:rPr>
          <w:sz w:val="18"/>
          <w:szCs w:val="18"/>
        </w:rPr>
        <w:t xml:space="preserve"> antibody ab9052 for H4K20me2 performed as in Figure 1.  The ab9052 antibody shows reduced reactivity with the recombinant H4K20me2 and shows increased reactivity with the histones in from the </w:t>
      </w:r>
      <w:r w:rsidRPr="00976FCE">
        <w:rPr>
          <w:i/>
          <w:sz w:val="18"/>
          <w:szCs w:val="18"/>
        </w:rPr>
        <w:t>set9-F178Y</w:t>
      </w:r>
      <w:r w:rsidRPr="00976FCE">
        <w:rPr>
          <w:sz w:val="18"/>
          <w:szCs w:val="18"/>
        </w:rPr>
        <w:t xml:space="preserve"> mutant compared to the GT282 antibody in Figure 1.  The GT282 antibody was therefore used in the </w:t>
      </w:r>
      <w:proofErr w:type="spellStart"/>
      <w:r w:rsidRPr="00976FCE">
        <w:rPr>
          <w:sz w:val="18"/>
          <w:szCs w:val="18"/>
        </w:rPr>
        <w:t>ChIP</w:t>
      </w:r>
      <w:proofErr w:type="spellEnd"/>
      <w:r w:rsidRPr="00976FCE">
        <w:rPr>
          <w:sz w:val="18"/>
          <w:szCs w:val="18"/>
        </w:rPr>
        <w:t xml:space="preserve"> experiments.  B) Figure 5b from </w:t>
      </w:r>
      <w:proofErr w:type="spellStart"/>
      <w:r w:rsidRPr="00976FCE">
        <w:rPr>
          <w:sz w:val="18"/>
          <w:szCs w:val="18"/>
        </w:rPr>
        <w:t>Greeson</w:t>
      </w:r>
      <w:proofErr w:type="spellEnd"/>
      <w:r w:rsidRPr="00976FCE">
        <w:rPr>
          <w:sz w:val="18"/>
          <w:szCs w:val="18"/>
        </w:rPr>
        <w:t xml:space="preserve"> </w:t>
      </w:r>
      <w:r w:rsidRPr="00976FCE">
        <w:rPr>
          <w:i/>
          <w:sz w:val="18"/>
          <w:szCs w:val="18"/>
        </w:rPr>
        <w:t>et al.</w:t>
      </w:r>
      <w:r w:rsidRPr="00976FCE">
        <w:rPr>
          <w:sz w:val="18"/>
          <w:szCs w:val="18"/>
        </w:rPr>
        <w:t xml:space="preserve"> 2008, performed with the original </w:t>
      </w:r>
      <w:proofErr w:type="spellStart"/>
      <w:r w:rsidRPr="00976FCE">
        <w:rPr>
          <w:sz w:val="18"/>
          <w:szCs w:val="18"/>
        </w:rPr>
        <w:t>Abcam</w:t>
      </w:r>
      <w:proofErr w:type="spellEnd"/>
      <w:r w:rsidRPr="00976FCE">
        <w:rPr>
          <w:sz w:val="18"/>
          <w:szCs w:val="18"/>
        </w:rPr>
        <w:t xml:space="preserve"> ab9052 antibody using protein extracts from the same </w:t>
      </w:r>
      <w:r w:rsidRPr="00976FCE">
        <w:rPr>
          <w:i/>
          <w:sz w:val="18"/>
          <w:szCs w:val="18"/>
        </w:rPr>
        <w:t>set9</w:t>
      </w:r>
      <w:r w:rsidRPr="00976FCE">
        <w:rPr>
          <w:sz w:val="18"/>
          <w:szCs w:val="18"/>
        </w:rPr>
        <w:t xml:space="preserve"> mutants shown in panel A.  The differences between the blot from Figure 5b in </w:t>
      </w:r>
      <w:proofErr w:type="spellStart"/>
      <w:r w:rsidRPr="00976FCE">
        <w:rPr>
          <w:sz w:val="18"/>
          <w:szCs w:val="18"/>
        </w:rPr>
        <w:t>Greeson</w:t>
      </w:r>
      <w:proofErr w:type="spellEnd"/>
      <w:r w:rsidRPr="00976FCE">
        <w:rPr>
          <w:sz w:val="18"/>
          <w:szCs w:val="18"/>
        </w:rPr>
        <w:t xml:space="preserve"> </w:t>
      </w:r>
      <w:r w:rsidRPr="00976FCE">
        <w:rPr>
          <w:i/>
          <w:sz w:val="18"/>
          <w:szCs w:val="18"/>
        </w:rPr>
        <w:t>et al</w:t>
      </w:r>
      <w:r w:rsidRPr="00976FCE">
        <w:rPr>
          <w:sz w:val="18"/>
          <w:szCs w:val="18"/>
        </w:rPr>
        <w:t xml:space="preserve">. and the blot in panel </w:t>
      </w:r>
      <w:proofErr w:type="gramStart"/>
      <w:r w:rsidRPr="00976FCE">
        <w:rPr>
          <w:sz w:val="18"/>
          <w:szCs w:val="18"/>
        </w:rPr>
        <w:t>A</w:t>
      </w:r>
      <w:proofErr w:type="gramEnd"/>
      <w:r w:rsidRPr="00976FCE">
        <w:rPr>
          <w:sz w:val="18"/>
          <w:szCs w:val="18"/>
        </w:rPr>
        <w:t xml:space="preserve"> raised concerns that the most recent lot of ab9052 would not provide adequate specificity for </w:t>
      </w:r>
      <w:proofErr w:type="spellStart"/>
      <w:r w:rsidRPr="00976FCE">
        <w:rPr>
          <w:sz w:val="18"/>
          <w:szCs w:val="18"/>
        </w:rPr>
        <w:t>ChIP</w:t>
      </w:r>
      <w:proofErr w:type="spellEnd"/>
      <w:r w:rsidRPr="00976FCE">
        <w:rPr>
          <w:sz w:val="18"/>
          <w:szCs w:val="18"/>
        </w:rPr>
        <w:t>.</w:t>
      </w:r>
    </w:p>
    <w:p w:rsidR="009F7DFF" w:rsidRDefault="009F7DFF"/>
    <w:sectPr w:rsidR="009F7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E8"/>
    <w:rsid w:val="009F7DFF"/>
    <w:rsid w:val="00CE2F79"/>
    <w:rsid w:val="00FC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332C3-A48F-44D9-8A29-FA10241D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F79"/>
    <w:pPr>
      <w:spacing w:after="0" w:line="240" w:lineRule="auto"/>
    </w:pPr>
    <w:rPr>
      <w:rFonts w:ascii="Arial" w:hAnsi="Arial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E2F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Mahnoor Butt</dc:creator>
  <cp:keywords/>
  <dc:description/>
  <cp:lastModifiedBy>Mahnoor Butt</cp:lastModifiedBy>
  <cp:revision>2</cp:revision>
  <dcterms:created xsi:type="dcterms:W3CDTF">2018-09-27T13:50:00Z</dcterms:created>
  <dcterms:modified xsi:type="dcterms:W3CDTF">2018-09-27T13:51:00Z</dcterms:modified>
</cp:coreProperties>
</file>