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B5" w:rsidRDefault="00E43BB5">
      <w:pPr>
        <w:spacing w:after="0"/>
        <w:rPr>
          <w:rFonts w:ascii="Arial" w:eastAsia="Arial" w:hAnsi="Arial" w:cs="Arial"/>
          <w:color w:val="808080"/>
        </w:rPr>
      </w:pPr>
    </w:p>
    <w:p w:rsidR="00E43BB5" w:rsidRPr="00481378" w:rsidRDefault="007173AB" w:rsidP="00481378">
      <w:pPr>
        <w:widowControl w:val="0"/>
        <w:spacing w:after="0"/>
        <w:jc w:val="both"/>
        <w:rPr>
          <w:rFonts w:ascii="Arial" w:eastAsia="Arial" w:hAnsi="Arial" w:cs="Arial"/>
          <w:b/>
          <w:sz w:val="32"/>
          <w:szCs w:val="32"/>
        </w:rPr>
      </w:pPr>
      <w:r w:rsidRPr="00481378">
        <w:rPr>
          <w:rFonts w:ascii="Arial" w:eastAsia="Arial" w:hAnsi="Arial" w:cs="Arial"/>
          <w:b/>
          <w:sz w:val="32"/>
          <w:szCs w:val="32"/>
        </w:rPr>
        <w:t>Supplementary data</w:t>
      </w:r>
    </w:p>
    <w:p w:rsidR="00E43BB5" w:rsidRDefault="00E43BB5">
      <w:pPr>
        <w:widowControl w:val="0"/>
        <w:spacing w:after="0"/>
        <w:ind w:left="480"/>
        <w:jc w:val="both"/>
        <w:rPr>
          <w:rFonts w:ascii="Arial" w:eastAsia="Arial" w:hAnsi="Arial" w:cs="Arial"/>
        </w:rPr>
      </w:pPr>
    </w:p>
    <w:p w:rsidR="00E43BB5" w:rsidRDefault="00E43BB5">
      <w:pPr>
        <w:spacing w:after="0" w:line="480" w:lineRule="auto"/>
        <w:rPr>
          <w:rFonts w:ascii="Arial" w:eastAsia="Arial" w:hAnsi="Arial" w:cs="Arial"/>
          <w:b/>
          <w:sz w:val="28"/>
          <w:szCs w:val="28"/>
        </w:rPr>
      </w:pPr>
    </w:p>
    <w:p w:rsidR="00E43BB5" w:rsidRPr="00450CC2" w:rsidRDefault="007173AB">
      <w:pPr>
        <w:spacing w:after="0" w:line="480" w:lineRule="auto"/>
        <w:rPr>
          <w:rFonts w:ascii="Arial" w:eastAsia="Arial" w:hAnsi="Arial" w:cs="Arial"/>
          <w:b/>
          <w:sz w:val="25"/>
          <w:szCs w:val="25"/>
        </w:rPr>
      </w:pPr>
      <w:r w:rsidRPr="00450CC2">
        <w:rPr>
          <w:rFonts w:ascii="Arial" w:eastAsia="Arial" w:hAnsi="Arial" w:cs="Arial"/>
          <w:b/>
          <w:sz w:val="25"/>
          <w:szCs w:val="25"/>
        </w:rPr>
        <w:t>Analysis of a large food chemical database: Chemical space, diversity, and complexity</w:t>
      </w:r>
    </w:p>
    <w:p w:rsidR="00C70266" w:rsidRDefault="00C70266" w:rsidP="00C70266">
      <w:pPr>
        <w:spacing w:after="0" w:line="360" w:lineRule="auto"/>
        <w:rPr>
          <w:rFonts w:ascii="Arial" w:eastAsia="Arial" w:hAnsi="Arial" w:cs="Arial"/>
          <w:sz w:val="25"/>
          <w:szCs w:val="25"/>
        </w:rPr>
      </w:pPr>
      <w:r>
        <w:rPr>
          <w:rFonts w:ascii="Arial" w:eastAsia="Arial" w:hAnsi="Arial" w:cs="Arial"/>
          <w:sz w:val="25"/>
          <w:szCs w:val="25"/>
        </w:rPr>
        <w:t>J. Jesús Naveja,</w:t>
      </w:r>
      <w:r w:rsidRPr="001E08E8">
        <w:rPr>
          <w:rFonts w:ascii="Arial" w:eastAsia="Arial" w:hAnsi="Arial" w:cs="Arial"/>
          <w:sz w:val="25"/>
          <w:szCs w:val="25"/>
          <w:vertAlign w:val="superscript"/>
        </w:rPr>
        <w:t>1,2</w:t>
      </w:r>
      <w:r>
        <w:rPr>
          <w:rFonts w:ascii="Arial" w:eastAsia="Arial" w:hAnsi="Arial" w:cs="Arial"/>
          <w:sz w:val="25"/>
          <w:szCs w:val="25"/>
        </w:rPr>
        <w:t xml:space="preserve"> Mariel P. Rico-Hidalgo,</w:t>
      </w:r>
      <w:r w:rsidRPr="001E08E8">
        <w:rPr>
          <w:rFonts w:ascii="Arial" w:eastAsia="Arial" w:hAnsi="Arial" w:cs="Arial"/>
          <w:sz w:val="25"/>
          <w:szCs w:val="25"/>
          <w:vertAlign w:val="superscript"/>
        </w:rPr>
        <w:t>1</w:t>
      </w:r>
      <w:r>
        <w:rPr>
          <w:rFonts w:ascii="Arial" w:eastAsia="Arial" w:hAnsi="Arial" w:cs="Arial"/>
          <w:sz w:val="25"/>
          <w:szCs w:val="25"/>
        </w:rPr>
        <w:t xml:space="preserve"> José L. Medina-Franco*</w:t>
      </w:r>
      <w:r w:rsidRPr="001E08E8">
        <w:rPr>
          <w:rFonts w:ascii="Arial" w:eastAsia="Arial" w:hAnsi="Arial" w:cs="Arial"/>
          <w:sz w:val="25"/>
          <w:szCs w:val="25"/>
          <w:vertAlign w:val="superscript"/>
        </w:rPr>
        <w:t>1,2</w:t>
      </w:r>
    </w:p>
    <w:p w:rsidR="00C70266" w:rsidRPr="001E08E8" w:rsidRDefault="00C70266" w:rsidP="00C70266">
      <w:pPr>
        <w:spacing w:after="0" w:line="360" w:lineRule="auto"/>
        <w:jc w:val="both"/>
        <w:rPr>
          <w:rFonts w:ascii="Arial" w:eastAsia="Arial" w:hAnsi="Arial" w:cs="Arial"/>
          <w:i/>
        </w:rPr>
      </w:pPr>
      <w:r w:rsidRPr="001E08E8">
        <w:rPr>
          <w:rFonts w:ascii="Arial" w:eastAsia="Arial" w:hAnsi="Arial" w:cs="Arial"/>
          <w:i/>
          <w:vertAlign w:val="superscript"/>
        </w:rPr>
        <w:t>1</w:t>
      </w:r>
      <w:r w:rsidRPr="001E08E8">
        <w:rPr>
          <w:rFonts w:ascii="Arial" w:eastAsia="Arial" w:hAnsi="Arial" w:cs="Arial"/>
          <w:i/>
        </w:rPr>
        <w:t>Department of Pharmacy, School of Chemistry, Universidad Nacional Autónoma de México, Mexico City, 04510, Mexico</w:t>
      </w:r>
    </w:p>
    <w:p w:rsidR="00C70266" w:rsidRPr="001E08E8" w:rsidRDefault="00C70266" w:rsidP="00C70266">
      <w:pPr>
        <w:spacing w:after="0" w:line="360" w:lineRule="auto"/>
        <w:jc w:val="both"/>
        <w:rPr>
          <w:rFonts w:ascii="Arial" w:eastAsia="Arial" w:hAnsi="Arial" w:cs="Arial"/>
          <w:i/>
        </w:rPr>
      </w:pPr>
      <w:r w:rsidRPr="001E08E8">
        <w:rPr>
          <w:rFonts w:ascii="Arial" w:eastAsia="Arial" w:hAnsi="Arial" w:cs="Arial"/>
          <w:i/>
          <w:vertAlign w:val="superscript"/>
        </w:rPr>
        <w:t>2</w:t>
      </w:r>
      <w:r w:rsidRPr="001E08E8">
        <w:rPr>
          <w:rFonts w:ascii="Arial" w:eastAsia="Arial" w:hAnsi="Arial" w:cs="Arial"/>
          <w:i/>
        </w:rPr>
        <w:t>PECEM, Faculty of Medicine, Universidad Nacional Autónoma de México, Mexico City, 04510, Mexico</w:t>
      </w:r>
    </w:p>
    <w:p w:rsidR="00E43BB5" w:rsidRDefault="00E43BB5">
      <w:pPr>
        <w:widowControl w:val="0"/>
        <w:spacing w:after="0"/>
        <w:ind w:left="480"/>
        <w:jc w:val="both"/>
        <w:rPr>
          <w:rFonts w:ascii="Arial" w:eastAsia="Arial" w:hAnsi="Arial" w:cs="Arial"/>
        </w:rPr>
      </w:pPr>
      <w:bookmarkStart w:id="0" w:name="_GoBack"/>
      <w:bookmarkEnd w:id="0"/>
    </w:p>
    <w:p w:rsidR="00E43BB5" w:rsidRDefault="00E43BB5">
      <w:pPr>
        <w:widowControl w:val="0"/>
        <w:spacing w:after="0"/>
        <w:ind w:left="480"/>
        <w:jc w:val="both"/>
        <w:rPr>
          <w:rFonts w:ascii="Arial" w:eastAsia="Arial" w:hAnsi="Arial" w:cs="Arial"/>
        </w:rPr>
      </w:pPr>
    </w:p>
    <w:p w:rsidR="00E43BB5" w:rsidRDefault="00E43BB5">
      <w:pPr>
        <w:widowControl w:val="0"/>
        <w:spacing w:after="0"/>
        <w:ind w:left="480"/>
        <w:jc w:val="both"/>
        <w:rPr>
          <w:rFonts w:ascii="Arial" w:eastAsia="Arial" w:hAnsi="Arial" w:cs="Arial"/>
        </w:rPr>
      </w:pPr>
    </w:p>
    <w:p w:rsidR="00E43BB5" w:rsidRDefault="00E43BB5">
      <w:pPr>
        <w:widowControl w:val="0"/>
        <w:spacing w:after="0"/>
        <w:ind w:left="480"/>
        <w:jc w:val="both"/>
        <w:rPr>
          <w:rFonts w:ascii="Arial" w:eastAsia="Arial" w:hAnsi="Arial" w:cs="Arial"/>
        </w:rPr>
      </w:pPr>
    </w:p>
    <w:p w:rsidR="00E43BB5" w:rsidRDefault="007173AB">
      <w:pPr>
        <w:spacing w:after="0" w:line="360" w:lineRule="auto"/>
        <w:jc w:val="both"/>
        <w:rPr>
          <w:rFonts w:ascii="Arial" w:eastAsia="Arial" w:hAnsi="Arial" w:cs="Arial"/>
        </w:rPr>
      </w:pPr>
      <w:r>
        <w:rPr>
          <w:rFonts w:ascii="Arial" w:eastAsia="Arial" w:hAnsi="Arial" w:cs="Arial"/>
          <w:b/>
        </w:rPr>
        <w:t>Table S1.</w:t>
      </w:r>
      <w:r>
        <w:rPr>
          <w:rFonts w:ascii="Arial" w:eastAsia="Arial" w:hAnsi="Arial" w:cs="Arial"/>
          <w:color w:val="0000CC"/>
        </w:rPr>
        <w:t xml:space="preserve"> </w:t>
      </w:r>
      <w:r>
        <w:rPr>
          <w:rFonts w:ascii="Arial" w:eastAsia="Arial" w:hAnsi="Arial" w:cs="Arial"/>
        </w:rPr>
        <w:t>Summary statistics of the distribution of six PCP of FooDB and other reference collections.</w:t>
      </w:r>
    </w:p>
    <w:tbl>
      <w:tblPr>
        <w:tblStyle w:val="a0"/>
        <w:tblW w:w="9744"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8"/>
        <w:gridCol w:w="1949"/>
        <w:gridCol w:w="1949"/>
        <w:gridCol w:w="1949"/>
        <w:gridCol w:w="1949"/>
      </w:tblGrid>
      <w:tr w:rsidR="00E43BB5">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Property</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FooDB</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GRAS</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ZINC</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DrugBank</w:t>
            </w:r>
          </w:p>
        </w:tc>
      </w:tr>
      <w:tr w:rsidR="00E43BB5">
        <w:tc>
          <w:tcPr>
            <w:tcW w:w="1948" w:type="dxa"/>
            <w:shd w:val="clear" w:color="auto" w:fill="auto"/>
            <w:tcMar>
              <w:top w:w="100" w:type="dxa"/>
              <w:left w:w="100" w:type="dxa"/>
              <w:bottom w:w="100" w:type="dxa"/>
              <w:right w:w="100" w:type="dxa"/>
            </w:tcMar>
          </w:tcPr>
          <w:p w:rsidR="00E43BB5" w:rsidRDefault="007173AB">
            <w:pPr>
              <w:spacing w:after="0" w:line="480" w:lineRule="auto"/>
              <w:jc w:val="both"/>
              <w:rPr>
                <w:rFonts w:ascii="Arial" w:eastAsia="Arial" w:hAnsi="Arial" w:cs="Arial"/>
              </w:rPr>
            </w:pPr>
            <w:r>
              <w:rPr>
                <w:rFonts w:ascii="Arial" w:eastAsia="Arial" w:hAnsi="Arial" w:cs="Arial"/>
              </w:rPr>
              <w:t>SlogP</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4</w:t>
            </w:r>
          </w:p>
          <w:p w:rsidR="00E43BB5" w:rsidRDefault="007173AB">
            <w:pPr>
              <w:widowControl w:val="0"/>
              <w:spacing w:after="0" w:line="240" w:lineRule="auto"/>
              <w:rPr>
                <w:rFonts w:ascii="Arial" w:eastAsia="Arial" w:hAnsi="Arial" w:cs="Arial"/>
              </w:rPr>
            </w:pPr>
            <w:r>
              <w:rPr>
                <w:rFonts w:ascii="Arial" w:eastAsia="Arial" w:hAnsi="Arial" w:cs="Arial"/>
              </w:rPr>
              <w:t>sd: 5.3</w:t>
            </w:r>
          </w:p>
          <w:p w:rsidR="00E43BB5" w:rsidRDefault="007173AB">
            <w:pPr>
              <w:widowControl w:val="0"/>
              <w:spacing w:after="0" w:line="240" w:lineRule="auto"/>
              <w:rPr>
                <w:rFonts w:ascii="Arial" w:eastAsia="Arial" w:hAnsi="Arial" w:cs="Arial"/>
              </w:rPr>
            </w:pPr>
            <w:r>
              <w:rPr>
                <w:rFonts w:ascii="Arial" w:eastAsia="Arial" w:hAnsi="Arial" w:cs="Arial"/>
              </w:rPr>
              <w:t>median: 2.9</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2.3</w:t>
            </w:r>
          </w:p>
          <w:p w:rsidR="00E43BB5" w:rsidRDefault="007173AB">
            <w:pPr>
              <w:widowControl w:val="0"/>
              <w:spacing w:after="0" w:line="240" w:lineRule="auto"/>
              <w:rPr>
                <w:rFonts w:ascii="Arial" w:eastAsia="Arial" w:hAnsi="Arial" w:cs="Arial"/>
              </w:rPr>
            </w:pPr>
            <w:r>
              <w:rPr>
                <w:rFonts w:ascii="Arial" w:eastAsia="Arial" w:hAnsi="Arial" w:cs="Arial"/>
              </w:rPr>
              <w:t>sd: 1.3</w:t>
            </w:r>
          </w:p>
          <w:p w:rsidR="00E43BB5" w:rsidRDefault="007173AB">
            <w:pPr>
              <w:widowControl w:val="0"/>
              <w:spacing w:after="0" w:line="240" w:lineRule="auto"/>
              <w:rPr>
                <w:rFonts w:ascii="Arial" w:eastAsia="Arial" w:hAnsi="Arial" w:cs="Arial"/>
              </w:rPr>
            </w:pPr>
            <w:r>
              <w:rPr>
                <w:rFonts w:ascii="Arial" w:eastAsia="Arial" w:hAnsi="Arial" w:cs="Arial"/>
              </w:rPr>
              <w:t>median: 2.3</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2.8</w:t>
            </w:r>
          </w:p>
          <w:p w:rsidR="00E43BB5" w:rsidRDefault="007173AB">
            <w:pPr>
              <w:widowControl w:val="0"/>
              <w:spacing w:after="0" w:line="240" w:lineRule="auto"/>
              <w:rPr>
                <w:rFonts w:ascii="Arial" w:eastAsia="Arial" w:hAnsi="Arial" w:cs="Arial"/>
              </w:rPr>
            </w:pPr>
            <w:r>
              <w:rPr>
                <w:rFonts w:ascii="Arial" w:eastAsia="Arial" w:hAnsi="Arial" w:cs="Arial"/>
              </w:rPr>
              <w:t>sd: 1.2</w:t>
            </w:r>
          </w:p>
          <w:p w:rsidR="00E43BB5" w:rsidRDefault="007173AB">
            <w:pPr>
              <w:widowControl w:val="0"/>
              <w:spacing w:after="0" w:line="240" w:lineRule="auto"/>
              <w:rPr>
                <w:rFonts w:ascii="Arial" w:eastAsia="Arial" w:hAnsi="Arial" w:cs="Arial"/>
              </w:rPr>
            </w:pPr>
            <w:r>
              <w:rPr>
                <w:rFonts w:ascii="Arial" w:eastAsia="Arial" w:hAnsi="Arial" w:cs="Arial"/>
              </w:rPr>
              <w:t>median: 2.9</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1.9</w:t>
            </w:r>
          </w:p>
          <w:p w:rsidR="00E43BB5" w:rsidRDefault="007173AB">
            <w:pPr>
              <w:widowControl w:val="0"/>
              <w:spacing w:after="0" w:line="240" w:lineRule="auto"/>
              <w:rPr>
                <w:rFonts w:ascii="Arial" w:eastAsia="Arial" w:hAnsi="Arial" w:cs="Arial"/>
              </w:rPr>
            </w:pPr>
            <w:r>
              <w:rPr>
                <w:rFonts w:ascii="Arial" w:eastAsia="Arial" w:hAnsi="Arial" w:cs="Arial"/>
              </w:rPr>
              <w:t>sd: 3</w:t>
            </w:r>
          </w:p>
          <w:p w:rsidR="00E43BB5" w:rsidRDefault="007173AB">
            <w:pPr>
              <w:widowControl w:val="0"/>
              <w:spacing w:after="0" w:line="240" w:lineRule="auto"/>
              <w:rPr>
                <w:rFonts w:ascii="Arial" w:eastAsia="Arial" w:hAnsi="Arial" w:cs="Arial"/>
              </w:rPr>
            </w:pPr>
            <w:r>
              <w:rPr>
                <w:rFonts w:ascii="Arial" w:eastAsia="Arial" w:hAnsi="Arial" w:cs="Arial"/>
              </w:rPr>
              <w:t>median: 2.2</w:t>
            </w:r>
          </w:p>
        </w:tc>
      </w:tr>
      <w:tr w:rsidR="00E43BB5">
        <w:tc>
          <w:tcPr>
            <w:tcW w:w="1948" w:type="dxa"/>
            <w:shd w:val="clear" w:color="auto" w:fill="auto"/>
            <w:tcMar>
              <w:top w:w="100" w:type="dxa"/>
              <w:left w:w="100" w:type="dxa"/>
              <w:bottom w:w="100" w:type="dxa"/>
              <w:right w:w="100" w:type="dxa"/>
            </w:tcMar>
          </w:tcPr>
          <w:p w:rsidR="00E43BB5" w:rsidRDefault="007173AB">
            <w:pPr>
              <w:spacing w:after="0" w:line="480" w:lineRule="auto"/>
              <w:jc w:val="both"/>
              <w:rPr>
                <w:rFonts w:ascii="Arial" w:eastAsia="Arial" w:hAnsi="Arial" w:cs="Arial"/>
              </w:rPr>
            </w:pPr>
            <w:r>
              <w:rPr>
                <w:rFonts w:ascii="Arial" w:eastAsia="Arial" w:hAnsi="Arial" w:cs="Arial"/>
              </w:rPr>
              <w:t>TPSA</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124.7</w:t>
            </w:r>
          </w:p>
          <w:p w:rsidR="00E43BB5" w:rsidRDefault="007173AB">
            <w:pPr>
              <w:widowControl w:val="0"/>
              <w:spacing w:after="0" w:line="240" w:lineRule="auto"/>
              <w:rPr>
                <w:rFonts w:ascii="Arial" w:eastAsia="Arial" w:hAnsi="Arial" w:cs="Arial"/>
              </w:rPr>
            </w:pPr>
            <w:r>
              <w:rPr>
                <w:rFonts w:ascii="Arial" w:eastAsia="Arial" w:hAnsi="Arial" w:cs="Arial"/>
              </w:rPr>
              <w:t>sd: 129.4</w:t>
            </w:r>
          </w:p>
          <w:p w:rsidR="00E43BB5" w:rsidRDefault="007173AB">
            <w:pPr>
              <w:widowControl w:val="0"/>
              <w:spacing w:after="0" w:line="240" w:lineRule="auto"/>
              <w:rPr>
                <w:rFonts w:ascii="Arial" w:eastAsia="Arial" w:hAnsi="Arial" w:cs="Arial"/>
              </w:rPr>
            </w:pPr>
            <w:r>
              <w:rPr>
                <w:rFonts w:ascii="Arial" w:eastAsia="Arial" w:hAnsi="Arial" w:cs="Arial"/>
              </w:rPr>
              <w:t>median: 87.7</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29</w:t>
            </w:r>
          </w:p>
          <w:p w:rsidR="00E43BB5" w:rsidRDefault="007173AB">
            <w:pPr>
              <w:widowControl w:val="0"/>
              <w:spacing w:after="0" w:line="240" w:lineRule="auto"/>
              <w:rPr>
                <w:rFonts w:ascii="Arial" w:eastAsia="Arial" w:hAnsi="Arial" w:cs="Arial"/>
              </w:rPr>
            </w:pPr>
            <w:r>
              <w:rPr>
                <w:rFonts w:ascii="Arial" w:eastAsia="Arial" w:hAnsi="Arial" w:cs="Arial"/>
              </w:rPr>
              <w:t>sd: 24.3</w:t>
            </w:r>
          </w:p>
          <w:p w:rsidR="00E43BB5" w:rsidRDefault="007173AB">
            <w:pPr>
              <w:widowControl w:val="0"/>
              <w:spacing w:after="0" w:line="240" w:lineRule="auto"/>
              <w:rPr>
                <w:rFonts w:ascii="Arial" w:eastAsia="Arial" w:hAnsi="Arial" w:cs="Arial"/>
              </w:rPr>
            </w:pPr>
            <w:r>
              <w:rPr>
                <w:rFonts w:ascii="Arial" w:eastAsia="Arial" w:hAnsi="Arial" w:cs="Arial"/>
              </w:rPr>
              <w:t>median: 26.3</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61</w:t>
            </w:r>
          </w:p>
          <w:p w:rsidR="00E43BB5" w:rsidRDefault="007173AB">
            <w:pPr>
              <w:widowControl w:val="0"/>
              <w:spacing w:after="0" w:line="240" w:lineRule="auto"/>
              <w:rPr>
                <w:rFonts w:ascii="Arial" w:eastAsia="Arial" w:hAnsi="Arial" w:cs="Arial"/>
              </w:rPr>
            </w:pPr>
            <w:r>
              <w:rPr>
                <w:rFonts w:ascii="Arial" w:eastAsia="Arial" w:hAnsi="Arial" w:cs="Arial"/>
              </w:rPr>
              <w:t>sd: 22</w:t>
            </w:r>
          </w:p>
          <w:p w:rsidR="00E43BB5" w:rsidRDefault="007173AB">
            <w:pPr>
              <w:widowControl w:val="0"/>
              <w:spacing w:after="0" w:line="240" w:lineRule="auto"/>
              <w:rPr>
                <w:rFonts w:ascii="Arial" w:eastAsia="Arial" w:hAnsi="Arial" w:cs="Arial"/>
              </w:rPr>
            </w:pPr>
            <w:r>
              <w:rPr>
                <w:rFonts w:ascii="Arial" w:eastAsia="Arial" w:hAnsi="Arial" w:cs="Arial"/>
              </w:rPr>
              <w:t>median: 60.6</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102.9</w:t>
            </w:r>
          </w:p>
          <w:p w:rsidR="00E43BB5" w:rsidRDefault="007173AB">
            <w:pPr>
              <w:widowControl w:val="0"/>
              <w:spacing w:after="0" w:line="240" w:lineRule="auto"/>
              <w:rPr>
                <w:rFonts w:ascii="Arial" w:eastAsia="Arial" w:hAnsi="Arial" w:cs="Arial"/>
              </w:rPr>
            </w:pPr>
            <w:r>
              <w:rPr>
                <w:rFonts w:ascii="Arial" w:eastAsia="Arial" w:hAnsi="Arial" w:cs="Arial"/>
              </w:rPr>
              <w:t>sd: 108.3</w:t>
            </w:r>
          </w:p>
          <w:p w:rsidR="00E43BB5" w:rsidRDefault="007173AB">
            <w:pPr>
              <w:widowControl w:val="0"/>
              <w:spacing w:after="0" w:line="240" w:lineRule="auto"/>
              <w:rPr>
                <w:rFonts w:ascii="Arial" w:eastAsia="Arial" w:hAnsi="Arial" w:cs="Arial"/>
              </w:rPr>
            </w:pPr>
            <w:r>
              <w:rPr>
                <w:rFonts w:ascii="Arial" w:eastAsia="Arial" w:hAnsi="Arial" w:cs="Arial"/>
              </w:rPr>
              <w:t>median: 84.3</w:t>
            </w:r>
          </w:p>
        </w:tc>
      </w:tr>
      <w:tr w:rsidR="00E43BB5">
        <w:tc>
          <w:tcPr>
            <w:tcW w:w="1948" w:type="dxa"/>
            <w:shd w:val="clear" w:color="auto" w:fill="auto"/>
            <w:tcMar>
              <w:top w:w="100" w:type="dxa"/>
              <w:left w:w="100" w:type="dxa"/>
              <w:bottom w:w="100" w:type="dxa"/>
              <w:right w:w="100" w:type="dxa"/>
            </w:tcMar>
          </w:tcPr>
          <w:p w:rsidR="00E43BB5" w:rsidRDefault="007173AB">
            <w:pPr>
              <w:spacing w:after="0" w:line="480" w:lineRule="auto"/>
              <w:jc w:val="both"/>
              <w:rPr>
                <w:rFonts w:ascii="Arial" w:eastAsia="Arial" w:hAnsi="Arial" w:cs="Arial"/>
              </w:rPr>
            </w:pPr>
            <w:r>
              <w:rPr>
                <w:rFonts w:ascii="Arial" w:eastAsia="Arial" w:hAnsi="Arial" w:cs="Arial"/>
              </w:rPr>
              <w:t>AMW</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490</w:t>
            </w:r>
          </w:p>
          <w:p w:rsidR="00E43BB5" w:rsidRDefault="007173AB">
            <w:pPr>
              <w:widowControl w:val="0"/>
              <w:spacing w:after="0" w:line="240" w:lineRule="auto"/>
              <w:rPr>
                <w:rFonts w:ascii="Arial" w:eastAsia="Arial" w:hAnsi="Arial" w:cs="Arial"/>
              </w:rPr>
            </w:pPr>
            <w:r>
              <w:rPr>
                <w:rFonts w:ascii="Arial" w:eastAsia="Arial" w:hAnsi="Arial" w:cs="Arial"/>
              </w:rPr>
              <w:t>sd: 344.9</w:t>
            </w:r>
          </w:p>
          <w:p w:rsidR="00E43BB5" w:rsidRDefault="007173AB">
            <w:pPr>
              <w:widowControl w:val="0"/>
              <w:spacing w:after="0" w:line="240" w:lineRule="auto"/>
              <w:rPr>
                <w:rFonts w:ascii="Arial" w:eastAsia="Arial" w:hAnsi="Arial" w:cs="Arial"/>
              </w:rPr>
            </w:pPr>
            <w:r>
              <w:rPr>
                <w:rFonts w:ascii="Arial" w:eastAsia="Arial" w:hAnsi="Arial" w:cs="Arial"/>
              </w:rPr>
              <w:t>median: 392.6</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169.9</w:t>
            </w:r>
          </w:p>
          <w:p w:rsidR="00E43BB5" w:rsidRDefault="007173AB">
            <w:pPr>
              <w:widowControl w:val="0"/>
              <w:spacing w:after="0" w:line="240" w:lineRule="auto"/>
              <w:rPr>
                <w:rFonts w:ascii="Arial" w:eastAsia="Arial" w:hAnsi="Arial" w:cs="Arial"/>
              </w:rPr>
            </w:pPr>
            <w:r>
              <w:rPr>
                <w:rFonts w:ascii="Arial" w:eastAsia="Arial" w:hAnsi="Arial" w:cs="Arial"/>
              </w:rPr>
              <w:t>sd: 61.9</w:t>
            </w:r>
          </w:p>
          <w:p w:rsidR="00E43BB5" w:rsidRDefault="007173AB">
            <w:pPr>
              <w:widowControl w:val="0"/>
              <w:spacing w:after="0" w:line="240" w:lineRule="auto"/>
              <w:rPr>
                <w:rFonts w:ascii="Arial" w:eastAsia="Arial" w:hAnsi="Arial" w:cs="Arial"/>
              </w:rPr>
            </w:pPr>
            <w:r>
              <w:rPr>
                <w:rFonts w:ascii="Arial" w:eastAsia="Arial" w:hAnsi="Arial" w:cs="Arial"/>
              </w:rPr>
              <w:t>median: 160.2</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328.9</w:t>
            </w:r>
          </w:p>
          <w:p w:rsidR="00E43BB5" w:rsidRDefault="007173AB">
            <w:pPr>
              <w:widowControl w:val="0"/>
              <w:spacing w:after="0" w:line="240" w:lineRule="auto"/>
              <w:rPr>
                <w:rFonts w:ascii="Arial" w:eastAsia="Arial" w:hAnsi="Arial" w:cs="Arial"/>
              </w:rPr>
            </w:pPr>
            <w:r>
              <w:rPr>
                <w:rFonts w:ascii="Arial" w:eastAsia="Arial" w:hAnsi="Arial" w:cs="Arial"/>
              </w:rPr>
              <w:t>sd: 61.3</w:t>
            </w:r>
          </w:p>
          <w:p w:rsidR="00E43BB5" w:rsidRDefault="007173AB">
            <w:pPr>
              <w:widowControl w:val="0"/>
              <w:spacing w:after="0" w:line="240" w:lineRule="auto"/>
              <w:rPr>
                <w:rFonts w:ascii="Arial" w:eastAsia="Arial" w:hAnsi="Arial" w:cs="Arial"/>
              </w:rPr>
            </w:pPr>
            <w:r>
              <w:rPr>
                <w:rFonts w:ascii="Arial" w:eastAsia="Arial" w:hAnsi="Arial" w:cs="Arial"/>
              </w:rPr>
              <w:t>median: 331.4</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365.7</w:t>
            </w:r>
          </w:p>
          <w:p w:rsidR="00E43BB5" w:rsidRDefault="007173AB">
            <w:pPr>
              <w:widowControl w:val="0"/>
              <w:spacing w:after="0" w:line="240" w:lineRule="auto"/>
              <w:rPr>
                <w:rFonts w:ascii="Arial" w:eastAsia="Arial" w:hAnsi="Arial" w:cs="Arial"/>
              </w:rPr>
            </w:pPr>
            <w:r>
              <w:rPr>
                <w:rFonts w:ascii="Arial" w:eastAsia="Arial" w:hAnsi="Arial" w:cs="Arial"/>
              </w:rPr>
              <w:t>sd: 263.4</w:t>
            </w:r>
          </w:p>
          <w:p w:rsidR="00E43BB5" w:rsidRDefault="007173AB">
            <w:pPr>
              <w:widowControl w:val="0"/>
              <w:spacing w:after="0" w:line="240" w:lineRule="auto"/>
              <w:rPr>
                <w:rFonts w:ascii="Arial" w:eastAsia="Arial" w:hAnsi="Arial" w:cs="Arial"/>
              </w:rPr>
            </w:pPr>
            <w:r>
              <w:rPr>
                <w:rFonts w:ascii="Arial" w:eastAsia="Arial" w:hAnsi="Arial" w:cs="Arial"/>
              </w:rPr>
              <w:t>median: 335.3</w:t>
            </w:r>
          </w:p>
        </w:tc>
      </w:tr>
      <w:tr w:rsidR="00E43BB5">
        <w:tc>
          <w:tcPr>
            <w:tcW w:w="1948" w:type="dxa"/>
            <w:shd w:val="clear" w:color="auto" w:fill="auto"/>
            <w:tcMar>
              <w:top w:w="100" w:type="dxa"/>
              <w:left w:w="100" w:type="dxa"/>
              <w:bottom w:w="100" w:type="dxa"/>
              <w:right w:w="100" w:type="dxa"/>
            </w:tcMar>
          </w:tcPr>
          <w:p w:rsidR="00E43BB5" w:rsidRDefault="007173AB">
            <w:pPr>
              <w:spacing w:after="0" w:line="480" w:lineRule="auto"/>
              <w:jc w:val="both"/>
              <w:rPr>
                <w:rFonts w:ascii="Arial" w:eastAsia="Arial" w:hAnsi="Arial" w:cs="Arial"/>
              </w:rPr>
            </w:pPr>
            <w:r>
              <w:rPr>
                <w:rFonts w:ascii="Arial" w:eastAsia="Arial" w:hAnsi="Arial" w:cs="Arial"/>
              </w:rPr>
              <w:t>RB</w:t>
            </w:r>
          </w:p>
        </w:tc>
        <w:tc>
          <w:tcPr>
            <w:tcW w:w="1948" w:type="dxa"/>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13.6</w:t>
            </w:r>
          </w:p>
          <w:p w:rsidR="00E43BB5" w:rsidRDefault="007173AB">
            <w:pPr>
              <w:widowControl w:val="0"/>
              <w:spacing w:after="0" w:line="240" w:lineRule="auto"/>
              <w:rPr>
                <w:rFonts w:ascii="Arial" w:eastAsia="Arial" w:hAnsi="Arial" w:cs="Arial"/>
              </w:rPr>
            </w:pPr>
            <w:r>
              <w:rPr>
                <w:rFonts w:ascii="Arial" w:eastAsia="Arial" w:hAnsi="Arial" w:cs="Arial"/>
              </w:rPr>
              <w:t>sd: 16</w:t>
            </w:r>
          </w:p>
          <w:p w:rsidR="00E43BB5" w:rsidRDefault="007173AB">
            <w:pPr>
              <w:widowControl w:val="0"/>
              <w:spacing w:after="0" w:line="240" w:lineRule="auto"/>
              <w:rPr>
                <w:rFonts w:ascii="Arial" w:eastAsia="Arial" w:hAnsi="Arial" w:cs="Arial"/>
              </w:rPr>
            </w:pPr>
            <w:r>
              <w:rPr>
                <w:rFonts w:ascii="Arial" w:eastAsia="Arial" w:hAnsi="Arial" w:cs="Arial"/>
              </w:rPr>
              <w:t>median: 6</w:t>
            </w:r>
          </w:p>
        </w:tc>
        <w:tc>
          <w:tcPr>
            <w:tcW w:w="1948" w:type="dxa"/>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3.9</w:t>
            </w:r>
          </w:p>
          <w:p w:rsidR="00E43BB5" w:rsidRDefault="007173AB">
            <w:pPr>
              <w:widowControl w:val="0"/>
              <w:spacing w:after="0" w:line="240" w:lineRule="auto"/>
              <w:rPr>
                <w:rFonts w:ascii="Arial" w:eastAsia="Arial" w:hAnsi="Arial" w:cs="Arial"/>
              </w:rPr>
            </w:pPr>
            <w:r>
              <w:rPr>
                <w:rFonts w:ascii="Arial" w:eastAsia="Arial" w:hAnsi="Arial" w:cs="Arial"/>
              </w:rPr>
              <w:t>sd: 3.1</w:t>
            </w:r>
          </w:p>
          <w:p w:rsidR="00E43BB5" w:rsidRDefault="007173AB">
            <w:pPr>
              <w:widowControl w:val="0"/>
              <w:spacing w:after="0" w:line="240" w:lineRule="auto"/>
              <w:rPr>
                <w:rFonts w:ascii="Arial" w:eastAsia="Arial" w:hAnsi="Arial" w:cs="Arial"/>
              </w:rPr>
            </w:pPr>
            <w:r>
              <w:rPr>
                <w:rFonts w:ascii="Arial" w:eastAsia="Arial" w:hAnsi="Arial" w:cs="Arial"/>
              </w:rPr>
              <w:t>median: 3</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4.6</w:t>
            </w:r>
          </w:p>
          <w:p w:rsidR="00E43BB5" w:rsidRDefault="007173AB">
            <w:pPr>
              <w:widowControl w:val="0"/>
              <w:spacing w:after="0" w:line="240" w:lineRule="auto"/>
              <w:rPr>
                <w:rFonts w:ascii="Arial" w:eastAsia="Arial" w:hAnsi="Arial" w:cs="Arial"/>
              </w:rPr>
            </w:pPr>
            <w:r>
              <w:rPr>
                <w:rFonts w:ascii="Arial" w:eastAsia="Arial" w:hAnsi="Arial" w:cs="Arial"/>
              </w:rPr>
              <w:t>sd: 1.5</w:t>
            </w:r>
          </w:p>
          <w:p w:rsidR="00E43BB5" w:rsidRDefault="007173AB">
            <w:pPr>
              <w:widowControl w:val="0"/>
              <w:spacing w:after="0" w:line="240" w:lineRule="auto"/>
              <w:rPr>
                <w:rFonts w:ascii="Arial" w:eastAsia="Arial" w:hAnsi="Arial" w:cs="Arial"/>
              </w:rPr>
            </w:pPr>
            <w:r>
              <w:rPr>
                <w:rFonts w:ascii="Arial" w:eastAsia="Arial" w:hAnsi="Arial" w:cs="Arial"/>
              </w:rPr>
              <w:t>median: 5</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5.8</w:t>
            </w:r>
          </w:p>
          <w:p w:rsidR="00E43BB5" w:rsidRDefault="007173AB">
            <w:pPr>
              <w:widowControl w:val="0"/>
              <w:spacing w:after="0" w:line="240" w:lineRule="auto"/>
              <w:rPr>
                <w:rFonts w:ascii="Arial" w:eastAsia="Arial" w:hAnsi="Arial" w:cs="Arial"/>
              </w:rPr>
            </w:pPr>
            <w:r>
              <w:rPr>
                <w:rFonts w:ascii="Arial" w:eastAsia="Arial" w:hAnsi="Arial" w:cs="Arial"/>
              </w:rPr>
              <w:t>sd: 7.6</w:t>
            </w:r>
          </w:p>
          <w:p w:rsidR="00E43BB5" w:rsidRDefault="007173AB">
            <w:pPr>
              <w:widowControl w:val="0"/>
              <w:spacing w:after="0" w:line="240" w:lineRule="auto"/>
              <w:rPr>
                <w:rFonts w:ascii="Arial" w:eastAsia="Arial" w:hAnsi="Arial" w:cs="Arial"/>
              </w:rPr>
            </w:pPr>
            <w:r>
              <w:rPr>
                <w:rFonts w:ascii="Arial" w:eastAsia="Arial" w:hAnsi="Arial" w:cs="Arial"/>
              </w:rPr>
              <w:t>median: 5</w:t>
            </w:r>
          </w:p>
        </w:tc>
      </w:tr>
      <w:tr w:rsidR="00E43BB5">
        <w:tc>
          <w:tcPr>
            <w:tcW w:w="1948" w:type="dxa"/>
            <w:shd w:val="clear" w:color="auto" w:fill="auto"/>
            <w:tcMar>
              <w:top w:w="100" w:type="dxa"/>
              <w:left w:w="100" w:type="dxa"/>
              <w:bottom w:w="100" w:type="dxa"/>
              <w:right w:w="100" w:type="dxa"/>
            </w:tcMar>
          </w:tcPr>
          <w:p w:rsidR="00E43BB5" w:rsidRDefault="007173AB">
            <w:pPr>
              <w:spacing w:after="0" w:line="480" w:lineRule="auto"/>
              <w:jc w:val="both"/>
              <w:rPr>
                <w:rFonts w:ascii="Arial" w:eastAsia="Arial" w:hAnsi="Arial" w:cs="Arial"/>
              </w:rPr>
            </w:pPr>
            <w:r>
              <w:rPr>
                <w:rFonts w:ascii="Arial" w:eastAsia="Arial" w:hAnsi="Arial" w:cs="Arial"/>
              </w:rPr>
              <w:t>HBD</w:t>
            </w:r>
          </w:p>
        </w:tc>
        <w:tc>
          <w:tcPr>
            <w:tcW w:w="1948" w:type="dxa"/>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3.5</w:t>
            </w:r>
          </w:p>
          <w:p w:rsidR="00E43BB5" w:rsidRDefault="007173AB">
            <w:pPr>
              <w:widowControl w:val="0"/>
              <w:spacing w:after="0" w:line="240" w:lineRule="auto"/>
              <w:rPr>
                <w:rFonts w:ascii="Arial" w:eastAsia="Arial" w:hAnsi="Arial" w:cs="Arial"/>
              </w:rPr>
            </w:pPr>
            <w:r>
              <w:rPr>
                <w:rFonts w:ascii="Arial" w:eastAsia="Arial" w:hAnsi="Arial" w:cs="Arial"/>
              </w:rPr>
              <w:t>sd: 4.7</w:t>
            </w:r>
          </w:p>
          <w:p w:rsidR="00E43BB5" w:rsidRDefault="007173AB">
            <w:pPr>
              <w:widowControl w:val="0"/>
              <w:spacing w:after="0" w:line="240" w:lineRule="auto"/>
              <w:rPr>
                <w:rFonts w:ascii="Arial" w:eastAsia="Arial" w:hAnsi="Arial" w:cs="Arial"/>
              </w:rPr>
            </w:pPr>
            <w:r>
              <w:rPr>
                <w:rFonts w:ascii="Arial" w:eastAsia="Arial" w:hAnsi="Arial" w:cs="Arial"/>
              </w:rPr>
              <w:t>median: 2</w:t>
            </w:r>
          </w:p>
        </w:tc>
        <w:tc>
          <w:tcPr>
            <w:tcW w:w="1948" w:type="dxa"/>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0.9</w:t>
            </w:r>
          </w:p>
          <w:p w:rsidR="00E43BB5" w:rsidRDefault="007173AB">
            <w:pPr>
              <w:widowControl w:val="0"/>
              <w:spacing w:after="0" w:line="240" w:lineRule="auto"/>
              <w:rPr>
                <w:rFonts w:ascii="Arial" w:eastAsia="Arial" w:hAnsi="Arial" w:cs="Arial"/>
              </w:rPr>
            </w:pPr>
            <w:r>
              <w:rPr>
                <w:rFonts w:ascii="Arial" w:eastAsia="Arial" w:hAnsi="Arial" w:cs="Arial"/>
              </w:rPr>
              <w:t>sd: 3.9</w:t>
            </w:r>
          </w:p>
          <w:p w:rsidR="00E43BB5" w:rsidRDefault="007173AB">
            <w:pPr>
              <w:widowControl w:val="0"/>
              <w:spacing w:after="0" w:line="240" w:lineRule="auto"/>
              <w:rPr>
                <w:rFonts w:ascii="Arial" w:eastAsia="Arial" w:hAnsi="Arial" w:cs="Arial"/>
                <w:b/>
              </w:rPr>
            </w:pPr>
            <w:r>
              <w:rPr>
                <w:rFonts w:ascii="Arial" w:eastAsia="Arial" w:hAnsi="Arial" w:cs="Arial"/>
              </w:rPr>
              <w:t>median: 3</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1.1</w:t>
            </w:r>
          </w:p>
          <w:p w:rsidR="00E43BB5" w:rsidRDefault="007173AB">
            <w:pPr>
              <w:widowControl w:val="0"/>
              <w:spacing w:after="0" w:line="240" w:lineRule="auto"/>
              <w:rPr>
                <w:rFonts w:ascii="Arial" w:eastAsia="Arial" w:hAnsi="Arial" w:cs="Arial"/>
              </w:rPr>
            </w:pPr>
            <w:r>
              <w:rPr>
                <w:rFonts w:ascii="Arial" w:eastAsia="Arial" w:hAnsi="Arial" w:cs="Arial"/>
              </w:rPr>
              <w:t>sd: 0.8</w:t>
            </w:r>
          </w:p>
          <w:p w:rsidR="00E43BB5" w:rsidRDefault="007173AB">
            <w:pPr>
              <w:widowControl w:val="0"/>
              <w:spacing w:after="0" w:line="240" w:lineRule="auto"/>
              <w:rPr>
                <w:rFonts w:ascii="Arial" w:eastAsia="Arial" w:hAnsi="Arial" w:cs="Arial"/>
              </w:rPr>
            </w:pPr>
            <w:r>
              <w:rPr>
                <w:rFonts w:ascii="Arial" w:eastAsia="Arial" w:hAnsi="Arial" w:cs="Arial"/>
              </w:rPr>
              <w:t>median: 1</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2.8</w:t>
            </w:r>
          </w:p>
          <w:p w:rsidR="00E43BB5" w:rsidRDefault="007173AB">
            <w:pPr>
              <w:widowControl w:val="0"/>
              <w:spacing w:after="0" w:line="240" w:lineRule="auto"/>
              <w:rPr>
                <w:rFonts w:ascii="Arial" w:eastAsia="Arial" w:hAnsi="Arial" w:cs="Arial"/>
              </w:rPr>
            </w:pPr>
            <w:r>
              <w:rPr>
                <w:rFonts w:ascii="Arial" w:eastAsia="Arial" w:hAnsi="Arial" w:cs="Arial"/>
              </w:rPr>
              <w:t>sd: 3.6</w:t>
            </w:r>
          </w:p>
          <w:p w:rsidR="00E43BB5" w:rsidRDefault="007173AB">
            <w:pPr>
              <w:widowControl w:val="0"/>
              <w:spacing w:after="0" w:line="240" w:lineRule="auto"/>
              <w:rPr>
                <w:rFonts w:ascii="Arial" w:eastAsia="Arial" w:hAnsi="Arial" w:cs="Arial"/>
              </w:rPr>
            </w:pPr>
            <w:r>
              <w:rPr>
                <w:rFonts w:ascii="Arial" w:eastAsia="Arial" w:hAnsi="Arial" w:cs="Arial"/>
              </w:rPr>
              <w:t>median: 2</w:t>
            </w:r>
          </w:p>
        </w:tc>
      </w:tr>
      <w:tr w:rsidR="00E43BB5">
        <w:tc>
          <w:tcPr>
            <w:tcW w:w="1948" w:type="dxa"/>
            <w:shd w:val="clear" w:color="auto" w:fill="auto"/>
            <w:tcMar>
              <w:top w:w="100" w:type="dxa"/>
              <w:left w:w="100" w:type="dxa"/>
              <w:bottom w:w="100" w:type="dxa"/>
              <w:right w:w="100" w:type="dxa"/>
            </w:tcMar>
          </w:tcPr>
          <w:p w:rsidR="00E43BB5" w:rsidRDefault="007173AB">
            <w:pPr>
              <w:spacing w:after="0" w:line="480" w:lineRule="auto"/>
              <w:jc w:val="both"/>
              <w:rPr>
                <w:rFonts w:ascii="Arial" w:eastAsia="Arial" w:hAnsi="Arial" w:cs="Arial"/>
              </w:rPr>
            </w:pPr>
            <w:r>
              <w:rPr>
                <w:rFonts w:ascii="Arial" w:eastAsia="Arial" w:hAnsi="Arial" w:cs="Arial"/>
              </w:rPr>
              <w:t>HBA</w:t>
            </w:r>
          </w:p>
        </w:tc>
        <w:tc>
          <w:tcPr>
            <w:tcW w:w="1948" w:type="dxa"/>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7.2</w:t>
            </w:r>
          </w:p>
          <w:p w:rsidR="00E43BB5" w:rsidRDefault="007173AB">
            <w:pPr>
              <w:widowControl w:val="0"/>
              <w:spacing w:after="0" w:line="240" w:lineRule="auto"/>
              <w:rPr>
                <w:rFonts w:ascii="Arial" w:eastAsia="Arial" w:hAnsi="Arial" w:cs="Arial"/>
              </w:rPr>
            </w:pPr>
            <w:r>
              <w:rPr>
                <w:rFonts w:ascii="Arial" w:eastAsia="Arial" w:hAnsi="Arial" w:cs="Arial"/>
              </w:rPr>
              <w:t>sd: 5</w:t>
            </w:r>
          </w:p>
          <w:p w:rsidR="00E43BB5" w:rsidRDefault="007173AB">
            <w:pPr>
              <w:widowControl w:val="0"/>
              <w:spacing w:after="0" w:line="240" w:lineRule="auto"/>
              <w:rPr>
                <w:rFonts w:ascii="Arial" w:eastAsia="Arial" w:hAnsi="Arial" w:cs="Arial"/>
              </w:rPr>
            </w:pPr>
            <w:r>
              <w:rPr>
                <w:rFonts w:ascii="Arial" w:eastAsia="Arial" w:hAnsi="Arial" w:cs="Arial"/>
              </w:rPr>
              <w:t>median: 7.2</w:t>
            </w:r>
          </w:p>
        </w:tc>
        <w:tc>
          <w:tcPr>
            <w:tcW w:w="1948" w:type="dxa"/>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1.4</w:t>
            </w:r>
          </w:p>
          <w:p w:rsidR="00E43BB5" w:rsidRDefault="007173AB">
            <w:pPr>
              <w:widowControl w:val="0"/>
              <w:spacing w:after="0" w:line="240" w:lineRule="auto"/>
              <w:rPr>
                <w:rFonts w:ascii="Arial" w:eastAsia="Arial" w:hAnsi="Arial" w:cs="Arial"/>
              </w:rPr>
            </w:pPr>
            <w:r>
              <w:rPr>
                <w:rFonts w:ascii="Arial" w:eastAsia="Arial" w:hAnsi="Arial" w:cs="Arial"/>
              </w:rPr>
              <w:t>sd: 0.4</w:t>
            </w:r>
          </w:p>
          <w:p w:rsidR="00E43BB5" w:rsidRDefault="007173AB">
            <w:pPr>
              <w:widowControl w:val="0"/>
              <w:spacing w:after="0" w:line="240" w:lineRule="auto"/>
              <w:rPr>
                <w:rFonts w:ascii="Arial" w:eastAsia="Arial" w:hAnsi="Arial" w:cs="Arial"/>
              </w:rPr>
            </w:pPr>
            <w:r>
              <w:rPr>
                <w:rFonts w:ascii="Arial" w:eastAsia="Arial" w:hAnsi="Arial" w:cs="Arial"/>
              </w:rPr>
              <w:t>median: 0</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4.1</w:t>
            </w:r>
          </w:p>
          <w:p w:rsidR="00E43BB5" w:rsidRDefault="007173AB">
            <w:pPr>
              <w:widowControl w:val="0"/>
              <w:spacing w:after="0" w:line="240" w:lineRule="auto"/>
              <w:rPr>
                <w:rFonts w:ascii="Arial" w:eastAsia="Arial" w:hAnsi="Arial" w:cs="Arial"/>
              </w:rPr>
            </w:pPr>
            <w:r>
              <w:rPr>
                <w:rFonts w:ascii="Arial" w:eastAsia="Arial" w:hAnsi="Arial" w:cs="Arial"/>
              </w:rPr>
              <w:t>sd: 1.5</w:t>
            </w:r>
          </w:p>
          <w:p w:rsidR="00E43BB5" w:rsidRDefault="007173AB">
            <w:pPr>
              <w:widowControl w:val="0"/>
              <w:spacing w:after="0" w:line="240" w:lineRule="auto"/>
              <w:rPr>
                <w:rFonts w:ascii="Arial" w:eastAsia="Arial" w:hAnsi="Arial" w:cs="Arial"/>
              </w:rPr>
            </w:pPr>
            <w:r>
              <w:rPr>
                <w:rFonts w:ascii="Arial" w:eastAsia="Arial" w:hAnsi="Arial" w:cs="Arial"/>
              </w:rPr>
              <w:t>median: 4</w:t>
            </w:r>
          </w:p>
        </w:tc>
        <w:tc>
          <w:tcPr>
            <w:tcW w:w="1948"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rPr>
            </w:pPr>
            <w:r>
              <w:rPr>
                <w:rFonts w:ascii="Arial" w:eastAsia="Arial" w:hAnsi="Arial" w:cs="Arial"/>
              </w:rPr>
              <w:t>mean: 5.4</w:t>
            </w:r>
          </w:p>
          <w:p w:rsidR="00E43BB5" w:rsidRDefault="007173AB">
            <w:pPr>
              <w:widowControl w:val="0"/>
              <w:spacing w:after="0" w:line="240" w:lineRule="auto"/>
              <w:rPr>
                <w:rFonts w:ascii="Arial" w:eastAsia="Arial" w:hAnsi="Arial" w:cs="Arial"/>
              </w:rPr>
            </w:pPr>
            <w:r>
              <w:rPr>
                <w:rFonts w:ascii="Arial" w:eastAsia="Arial" w:hAnsi="Arial" w:cs="Arial"/>
              </w:rPr>
              <w:t>sd: 5.5</w:t>
            </w:r>
          </w:p>
          <w:p w:rsidR="00E43BB5" w:rsidRDefault="007173AB">
            <w:pPr>
              <w:widowControl w:val="0"/>
              <w:spacing w:after="0" w:line="240" w:lineRule="auto"/>
              <w:rPr>
                <w:rFonts w:ascii="Arial" w:eastAsia="Arial" w:hAnsi="Arial" w:cs="Arial"/>
              </w:rPr>
            </w:pPr>
            <w:r>
              <w:rPr>
                <w:rFonts w:ascii="Arial" w:eastAsia="Arial" w:hAnsi="Arial" w:cs="Arial"/>
              </w:rPr>
              <w:t>median: 4</w:t>
            </w:r>
          </w:p>
        </w:tc>
      </w:tr>
    </w:tbl>
    <w:p w:rsidR="00E43BB5" w:rsidRDefault="00E43BB5">
      <w:pPr>
        <w:spacing w:after="0" w:line="360" w:lineRule="auto"/>
        <w:jc w:val="both"/>
        <w:rPr>
          <w:rFonts w:ascii="Arial" w:eastAsia="Arial" w:hAnsi="Arial" w:cs="Arial"/>
        </w:rPr>
      </w:pPr>
    </w:p>
    <w:p w:rsidR="00E43BB5" w:rsidRDefault="007173AB">
      <w:pPr>
        <w:spacing w:after="0" w:line="360" w:lineRule="auto"/>
        <w:jc w:val="both"/>
        <w:rPr>
          <w:rFonts w:ascii="Arial" w:eastAsia="Arial" w:hAnsi="Arial" w:cs="Arial"/>
        </w:rPr>
      </w:pPr>
      <w:r>
        <w:rPr>
          <w:rFonts w:ascii="Arial" w:eastAsia="Arial" w:hAnsi="Arial" w:cs="Arial"/>
        </w:rPr>
        <w:t>SlogP: calculated partition coefficient; TPSA: topological polar surface area; AMW: atomic mass weight; RB: rotatable bonds; HBD: hydrogen bond donors; HBA: hydrogen bond acceptors.</w:t>
      </w:r>
    </w:p>
    <w:p w:rsidR="00E43BB5" w:rsidRDefault="007173AB">
      <w:pPr>
        <w:widowControl w:val="0"/>
        <w:spacing w:after="0" w:line="360" w:lineRule="auto"/>
        <w:ind w:left="480"/>
        <w:jc w:val="both"/>
        <w:rPr>
          <w:rFonts w:ascii="Arial" w:eastAsia="Arial" w:hAnsi="Arial" w:cs="Arial"/>
        </w:rPr>
      </w:pPr>
      <w:r>
        <w:br w:type="page"/>
      </w:r>
    </w:p>
    <w:p w:rsidR="00E43BB5" w:rsidRDefault="00E43BB5">
      <w:pPr>
        <w:widowControl w:val="0"/>
        <w:spacing w:after="0"/>
        <w:ind w:left="480"/>
        <w:jc w:val="both"/>
        <w:rPr>
          <w:rFonts w:ascii="Arial" w:eastAsia="Arial" w:hAnsi="Arial" w:cs="Arial"/>
        </w:rPr>
      </w:pPr>
    </w:p>
    <w:p w:rsidR="00E43BB5" w:rsidRDefault="00E43BB5">
      <w:pPr>
        <w:widowControl w:val="0"/>
        <w:spacing w:after="0"/>
        <w:ind w:left="480"/>
        <w:jc w:val="both"/>
        <w:rPr>
          <w:rFonts w:ascii="Arial" w:eastAsia="Arial" w:hAnsi="Arial" w:cs="Arial"/>
        </w:rPr>
      </w:pPr>
    </w:p>
    <w:p w:rsidR="00E43BB5" w:rsidRDefault="007173AB">
      <w:pPr>
        <w:widowControl w:val="0"/>
        <w:spacing w:after="0" w:line="360" w:lineRule="auto"/>
        <w:ind w:left="480"/>
        <w:jc w:val="both"/>
        <w:rPr>
          <w:rFonts w:ascii="Arial" w:eastAsia="Arial" w:hAnsi="Arial" w:cs="Arial"/>
        </w:rPr>
      </w:pPr>
      <w:r>
        <w:rPr>
          <w:rFonts w:ascii="Arial" w:eastAsia="Arial" w:hAnsi="Arial" w:cs="Arial"/>
          <w:b/>
        </w:rPr>
        <w:t>Table S2.</w:t>
      </w:r>
      <w:r>
        <w:rPr>
          <w:rFonts w:ascii="Arial" w:eastAsia="Arial" w:hAnsi="Arial" w:cs="Arial"/>
        </w:rPr>
        <w:t xml:space="preserve"> Selected scaffold statistics as reported by </w:t>
      </w:r>
      <w:hyperlink r:id="rId7">
        <w:r>
          <w:rPr>
            <w:rFonts w:ascii="Arial" w:eastAsia="Arial" w:hAnsi="Arial" w:cs="Arial"/>
            <w:color w:val="000000"/>
          </w:rPr>
          <w:t>(Schneider &amp; Schneider, 2017)</w:t>
        </w:r>
      </w:hyperlink>
      <w:r>
        <w:rPr>
          <w:rFonts w:ascii="Arial" w:eastAsia="Arial" w:hAnsi="Arial" w:cs="Arial"/>
        </w:rPr>
        <w:t>.</w:t>
      </w:r>
    </w:p>
    <w:tbl>
      <w:tblPr>
        <w:tblStyle w:val="a1"/>
        <w:tblW w:w="10224"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4"/>
        <w:gridCol w:w="1704"/>
        <w:gridCol w:w="1704"/>
        <w:gridCol w:w="1704"/>
        <w:gridCol w:w="1704"/>
        <w:gridCol w:w="1704"/>
      </w:tblGrid>
      <w:tr w:rsidR="00E43BB5">
        <w:tc>
          <w:tcPr>
            <w:tcW w:w="170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43BB5" w:rsidRDefault="007173AB">
            <w:pPr>
              <w:spacing w:after="0" w:line="240" w:lineRule="auto"/>
              <w:jc w:val="center"/>
              <w:rPr>
                <w:rFonts w:ascii="Arial" w:eastAsia="Arial" w:hAnsi="Arial" w:cs="Arial"/>
                <w:sz w:val="24"/>
                <w:szCs w:val="24"/>
              </w:rPr>
            </w:pPr>
            <w:r>
              <w:rPr>
                <w:rFonts w:ascii="Arial" w:eastAsia="Arial" w:hAnsi="Arial" w:cs="Arial"/>
                <w:sz w:val="24"/>
                <w:szCs w:val="24"/>
              </w:rPr>
              <w:t>Structure</w:t>
            </w:r>
          </w:p>
        </w:tc>
        <w:tc>
          <w:tcPr>
            <w:tcW w:w="1704"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E43BB5" w:rsidRDefault="007173AB">
            <w:pPr>
              <w:spacing w:after="0" w:line="240" w:lineRule="auto"/>
              <w:jc w:val="center"/>
              <w:rPr>
                <w:rFonts w:ascii="Arial" w:eastAsia="Arial" w:hAnsi="Arial" w:cs="Arial"/>
                <w:sz w:val="24"/>
                <w:szCs w:val="24"/>
              </w:rPr>
            </w:pPr>
            <w:r>
              <w:rPr>
                <w:rFonts w:ascii="Arial" w:eastAsia="Arial" w:hAnsi="Arial" w:cs="Arial"/>
                <w:sz w:val="24"/>
                <w:szCs w:val="24"/>
              </w:rPr>
              <w:t>Compounds in ChEMBL 22</w:t>
            </w:r>
          </w:p>
        </w:tc>
        <w:tc>
          <w:tcPr>
            <w:tcW w:w="1704"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E43BB5" w:rsidRDefault="007173AB">
            <w:pPr>
              <w:spacing w:after="0" w:line="240" w:lineRule="auto"/>
              <w:jc w:val="center"/>
              <w:rPr>
                <w:rFonts w:ascii="Arial" w:eastAsia="Arial" w:hAnsi="Arial" w:cs="Arial"/>
                <w:sz w:val="24"/>
                <w:szCs w:val="24"/>
              </w:rPr>
            </w:pPr>
            <w:r>
              <w:rPr>
                <w:rFonts w:ascii="Arial" w:eastAsia="Arial" w:hAnsi="Arial" w:cs="Arial"/>
                <w:sz w:val="24"/>
                <w:szCs w:val="24"/>
              </w:rPr>
              <w:t>Shannon entropy</w:t>
            </w:r>
          </w:p>
        </w:tc>
        <w:tc>
          <w:tcPr>
            <w:tcW w:w="1704"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E43BB5" w:rsidRDefault="007173AB">
            <w:pPr>
              <w:spacing w:after="0" w:line="240" w:lineRule="auto"/>
              <w:jc w:val="center"/>
              <w:rPr>
                <w:rFonts w:ascii="Arial" w:eastAsia="Arial" w:hAnsi="Arial" w:cs="Arial"/>
                <w:sz w:val="24"/>
                <w:szCs w:val="24"/>
              </w:rPr>
            </w:pPr>
            <w:r>
              <w:rPr>
                <w:rFonts w:ascii="Arial" w:eastAsia="Arial" w:hAnsi="Arial" w:cs="Arial"/>
                <w:sz w:val="24"/>
                <w:szCs w:val="24"/>
              </w:rPr>
              <w:t>Information</w:t>
            </w:r>
          </w:p>
        </w:tc>
        <w:tc>
          <w:tcPr>
            <w:tcW w:w="1704"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E43BB5" w:rsidRDefault="007173AB">
            <w:pPr>
              <w:spacing w:after="0" w:line="240" w:lineRule="auto"/>
              <w:jc w:val="center"/>
              <w:rPr>
                <w:rFonts w:ascii="Arial" w:eastAsia="Arial" w:hAnsi="Arial" w:cs="Arial"/>
                <w:sz w:val="24"/>
                <w:szCs w:val="24"/>
              </w:rPr>
            </w:pPr>
            <w:r>
              <w:rPr>
                <w:rFonts w:ascii="Arial" w:eastAsia="Arial" w:hAnsi="Arial" w:cs="Arial"/>
                <w:sz w:val="24"/>
                <w:szCs w:val="24"/>
              </w:rPr>
              <w:t>Kullback– Leibler divergence</w:t>
            </w:r>
          </w:p>
        </w:tc>
        <w:tc>
          <w:tcPr>
            <w:tcW w:w="1704"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E43BB5" w:rsidRDefault="007173AB">
            <w:pPr>
              <w:spacing w:after="0" w:line="240" w:lineRule="auto"/>
              <w:jc w:val="center"/>
              <w:rPr>
                <w:rFonts w:ascii="Arial" w:eastAsia="Arial" w:hAnsi="Arial" w:cs="Arial"/>
                <w:sz w:val="24"/>
                <w:szCs w:val="24"/>
              </w:rPr>
            </w:pPr>
            <w:r>
              <w:rPr>
                <w:rFonts w:ascii="Arial" w:eastAsia="Arial" w:hAnsi="Arial" w:cs="Arial"/>
                <w:sz w:val="24"/>
                <w:szCs w:val="24"/>
              </w:rPr>
              <w:t>Mean neural network score</w:t>
            </w:r>
          </w:p>
        </w:tc>
      </w:tr>
      <w:tr w:rsidR="00E43BB5">
        <w:tc>
          <w:tcPr>
            <w:tcW w:w="1704" w:type="dxa"/>
            <w:shd w:val="clear" w:color="auto" w:fill="auto"/>
            <w:tcMar>
              <w:top w:w="100" w:type="dxa"/>
              <w:left w:w="100" w:type="dxa"/>
              <w:bottom w:w="100" w:type="dxa"/>
              <w:right w:w="100" w:type="dxa"/>
            </w:tcMar>
          </w:tcPr>
          <w:p w:rsidR="00E43BB5" w:rsidRDefault="007173AB">
            <w:pPr>
              <w:spacing w:after="0"/>
              <w:jc w:val="center"/>
              <w:rPr>
                <w:rFonts w:ascii="Arial" w:eastAsia="Arial" w:hAnsi="Arial" w:cs="Arial"/>
                <w:sz w:val="24"/>
                <w:szCs w:val="24"/>
              </w:rPr>
            </w:pPr>
            <w:r>
              <w:rPr>
                <w:rFonts w:ascii="Arial" w:eastAsia="Arial" w:hAnsi="Arial" w:cs="Arial"/>
                <w:noProof/>
                <w:sz w:val="24"/>
                <w:szCs w:val="24"/>
                <w:lang w:val="es-MX"/>
              </w:rPr>
              <w:drawing>
                <wp:inline distT="114300" distB="114300" distL="114300" distR="114300">
                  <wp:extent cx="409575" cy="495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9575" cy="495300"/>
                          </a:xfrm>
                          <a:prstGeom prst="rect">
                            <a:avLst/>
                          </a:prstGeom>
                          <a:ln/>
                        </pic:spPr>
                      </pic:pic>
                    </a:graphicData>
                  </a:graphic>
                </wp:inline>
              </w:drawing>
            </w:r>
          </w:p>
        </w:tc>
        <w:tc>
          <w:tcPr>
            <w:tcW w:w="1704" w:type="dxa"/>
            <w:shd w:val="clear" w:color="auto" w:fill="auto"/>
            <w:tcMar>
              <w:top w:w="100" w:type="dxa"/>
              <w:left w:w="100" w:type="dxa"/>
              <w:bottom w:w="100" w:type="dxa"/>
              <w:right w:w="100" w:type="dxa"/>
            </w:tcMar>
          </w:tcPr>
          <w:p w:rsidR="00E43BB5" w:rsidRDefault="007173AB">
            <w:pPr>
              <w:spacing w:after="0"/>
              <w:jc w:val="center"/>
              <w:rPr>
                <w:rFonts w:ascii="Arial" w:eastAsia="Arial" w:hAnsi="Arial" w:cs="Arial"/>
                <w:sz w:val="24"/>
                <w:szCs w:val="24"/>
              </w:rPr>
            </w:pPr>
            <w:r>
              <w:rPr>
                <w:rFonts w:ascii="Arial" w:eastAsia="Arial" w:hAnsi="Arial" w:cs="Arial"/>
                <w:sz w:val="24"/>
                <w:szCs w:val="24"/>
              </w:rPr>
              <w:t>11,048</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1.96</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1.36</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0.68</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0.23</w:t>
            </w:r>
          </w:p>
        </w:tc>
      </w:tr>
      <w:tr w:rsidR="00E43BB5">
        <w:trPr>
          <w:trHeight w:val="1100"/>
        </w:trPr>
        <w:tc>
          <w:tcPr>
            <w:tcW w:w="1704" w:type="dxa"/>
            <w:shd w:val="clear" w:color="auto" w:fill="auto"/>
            <w:tcMar>
              <w:top w:w="100" w:type="dxa"/>
              <w:left w:w="100" w:type="dxa"/>
              <w:bottom w:w="100" w:type="dxa"/>
              <w:right w:w="100" w:type="dxa"/>
            </w:tcMar>
          </w:tcPr>
          <w:p w:rsidR="00E43BB5" w:rsidRDefault="007173AB">
            <w:pPr>
              <w:spacing w:after="0"/>
              <w:jc w:val="center"/>
              <w:rPr>
                <w:rFonts w:ascii="Arial" w:eastAsia="Arial" w:hAnsi="Arial" w:cs="Arial"/>
                <w:sz w:val="24"/>
                <w:szCs w:val="24"/>
              </w:rPr>
            </w:pPr>
            <w:r>
              <w:rPr>
                <w:rFonts w:ascii="Arial" w:eastAsia="Arial" w:hAnsi="Arial" w:cs="Arial"/>
                <w:noProof/>
                <w:sz w:val="24"/>
                <w:szCs w:val="24"/>
                <w:lang w:val="es-MX"/>
              </w:rPr>
              <w:drawing>
                <wp:inline distT="114300" distB="114300" distL="114300" distR="114300">
                  <wp:extent cx="409575" cy="5207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09575" cy="520700"/>
                          </a:xfrm>
                          <a:prstGeom prst="rect">
                            <a:avLst/>
                          </a:prstGeom>
                          <a:ln/>
                        </pic:spPr>
                      </pic:pic>
                    </a:graphicData>
                  </a:graphic>
                </wp:inline>
              </w:drawing>
            </w:r>
          </w:p>
        </w:tc>
        <w:tc>
          <w:tcPr>
            <w:tcW w:w="1704" w:type="dxa"/>
            <w:shd w:val="clear" w:color="auto" w:fill="auto"/>
            <w:tcMar>
              <w:top w:w="100" w:type="dxa"/>
              <w:left w:w="100" w:type="dxa"/>
              <w:bottom w:w="100" w:type="dxa"/>
              <w:right w:w="100" w:type="dxa"/>
            </w:tcMar>
          </w:tcPr>
          <w:p w:rsidR="00E43BB5" w:rsidRDefault="007173AB">
            <w:pPr>
              <w:spacing w:after="0"/>
              <w:jc w:val="center"/>
              <w:rPr>
                <w:rFonts w:ascii="Arial" w:eastAsia="Arial" w:hAnsi="Arial" w:cs="Arial"/>
                <w:sz w:val="24"/>
                <w:szCs w:val="24"/>
              </w:rPr>
            </w:pPr>
            <w:r>
              <w:rPr>
                <w:rFonts w:ascii="Arial" w:eastAsia="Arial" w:hAnsi="Arial" w:cs="Arial"/>
                <w:sz w:val="24"/>
                <w:szCs w:val="24"/>
              </w:rPr>
              <w:t>277</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1.54</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1.78</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1.17</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0.05</w:t>
            </w:r>
          </w:p>
        </w:tc>
      </w:tr>
      <w:tr w:rsidR="00E43BB5">
        <w:tc>
          <w:tcPr>
            <w:tcW w:w="1704" w:type="dxa"/>
            <w:shd w:val="clear" w:color="auto" w:fill="auto"/>
            <w:tcMar>
              <w:top w:w="100" w:type="dxa"/>
              <w:left w:w="100" w:type="dxa"/>
              <w:bottom w:w="100" w:type="dxa"/>
              <w:right w:w="100" w:type="dxa"/>
            </w:tcMar>
          </w:tcPr>
          <w:p w:rsidR="00E43BB5" w:rsidRDefault="007173AB">
            <w:pPr>
              <w:spacing w:after="0"/>
              <w:jc w:val="center"/>
              <w:rPr>
                <w:rFonts w:ascii="Arial" w:eastAsia="Arial" w:hAnsi="Arial" w:cs="Arial"/>
                <w:sz w:val="24"/>
                <w:szCs w:val="24"/>
              </w:rPr>
            </w:pPr>
            <w:r>
              <w:rPr>
                <w:rFonts w:ascii="Arial" w:eastAsia="Arial" w:hAnsi="Arial" w:cs="Arial"/>
                <w:noProof/>
                <w:sz w:val="24"/>
                <w:szCs w:val="24"/>
                <w:lang w:val="es-MX"/>
              </w:rPr>
              <w:drawing>
                <wp:inline distT="114300" distB="114300" distL="114300" distR="114300">
                  <wp:extent cx="409575" cy="5461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09575" cy="546100"/>
                          </a:xfrm>
                          <a:prstGeom prst="rect">
                            <a:avLst/>
                          </a:prstGeom>
                          <a:ln/>
                        </pic:spPr>
                      </pic:pic>
                    </a:graphicData>
                  </a:graphic>
                </wp:inline>
              </w:drawing>
            </w:r>
          </w:p>
        </w:tc>
        <w:tc>
          <w:tcPr>
            <w:tcW w:w="1704" w:type="dxa"/>
            <w:shd w:val="clear" w:color="auto" w:fill="auto"/>
            <w:tcMar>
              <w:top w:w="100" w:type="dxa"/>
              <w:left w:w="100" w:type="dxa"/>
              <w:bottom w:w="100" w:type="dxa"/>
              <w:right w:w="100" w:type="dxa"/>
            </w:tcMar>
          </w:tcPr>
          <w:p w:rsidR="00E43BB5" w:rsidRDefault="007173AB">
            <w:pPr>
              <w:spacing w:after="0"/>
              <w:jc w:val="center"/>
              <w:rPr>
                <w:rFonts w:ascii="Arial" w:eastAsia="Arial" w:hAnsi="Arial" w:cs="Arial"/>
                <w:sz w:val="24"/>
                <w:szCs w:val="24"/>
              </w:rPr>
            </w:pPr>
            <w:r>
              <w:rPr>
                <w:rFonts w:ascii="Arial" w:eastAsia="Arial" w:hAnsi="Arial" w:cs="Arial"/>
                <w:sz w:val="24"/>
                <w:szCs w:val="24"/>
              </w:rPr>
              <w:t>119</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0.61</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2.71</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2.08</w:t>
            </w:r>
          </w:p>
        </w:tc>
        <w:tc>
          <w:tcPr>
            <w:tcW w:w="1704" w:type="dxa"/>
            <w:shd w:val="clear" w:color="auto" w:fill="auto"/>
            <w:tcMar>
              <w:top w:w="100" w:type="dxa"/>
              <w:left w:w="100" w:type="dxa"/>
              <w:bottom w:w="100" w:type="dxa"/>
              <w:right w:w="100" w:type="dxa"/>
            </w:tcMar>
          </w:tcPr>
          <w:p w:rsidR="00E43BB5" w:rsidRDefault="007173AB">
            <w:pPr>
              <w:widowControl w:val="0"/>
              <w:spacing w:after="0" w:line="240" w:lineRule="auto"/>
              <w:rPr>
                <w:rFonts w:ascii="Arial" w:eastAsia="Arial" w:hAnsi="Arial" w:cs="Arial"/>
                <w:sz w:val="24"/>
                <w:szCs w:val="24"/>
              </w:rPr>
            </w:pPr>
            <w:r>
              <w:rPr>
                <w:rFonts w:ascii="Arial" w:eastAsia="Arial" w:hAnsi="Arial" w:cs="Arial"/>
                <w:sz w:val="24"/>
                <w:szCs w:val="24"/>
              </w:rPr>
              <w:t>0</w:t>
            </w:r>
          </w:p>
        </w:tc>
      </w:tr>
    </w:tbl>
    <w:p w:rsidR="00E43BB5" w:rsidRDefault="00E43BB5">
      <w:pPr>
        <w:spacing w:after="0" w:line="480" w:lineRule="auto"/>
        <w:ind w:firstLine="360"/>
        <w:jc w:val="both"/>
        <w:rPr>
          <w:rFonts w:ascii="Arial" w:eastAsia="Arial" w:hAnsi="Arial" w:cs="Arial"/>
        </w:rPr>
      </w:pPr>
    </w:p>
    <w:p w:rsidR="00E43BB5" w:rsidRDefault="007173AB">
      <w:pPr>
        <w:widowControl w:val="0"/>
        <w:spacing w:after="0"/>
        <w:jc w:val="both"/>
        <w:rPr>
          <w:rFonts w:ascii="Arial" w:eastAsia="Arial" w:hAnsi="Arial" w:cs="Arial"/>
        </w:rPr>
      </w:pPr>
      <w:r>
        <w:rPr>
          <w:rFonts w:ascii="Arial" w:eastAsia="Arial" w:hAnsi="Arial" w:cs="Arial"/>
        </w:rPr>
        <w:t xml:space="preserve">Briefly, to study the promiscuity or selectivity of chemical scaffolds, </w:t>
      </w:r>
      <w:hyperlink r:id="rId11">
        <w:r>
          <w:rPr>
            <w:rFonts w:ascii="Arial" w:eastAsia="Arial" w:hAnsi="Arial" w:cs="Arial"/>
            <w:color w:val="000000"/>
          </w:rPr>
          <w:t>(Schneider &amp; Schneider, 2017)</w:t>
        </w:r>
      </w:hyperlink>
      <w:r>
        <w:rPr>
          <w:rFonts w:ascii="Arial" w:eastAsia="Arial" w:hAnsi="Arial" w:cs="Arial"/>
        </w:rPr>
        <w:t xml:space="preserve">) compared the distribution of each scaffold activity annotations in different targets families (GPCR, enzyme, kinase, proteinase, nuclear receptor, catalytic receptor, ion channel, transporter, protein and undefined). Shannon entropy was calculated as an indicator of the variability (a higher value means more promiscuity). Information was the difference of the maximum possible entropy and the calculated Shannon entropy (a higher value means lower Shannon entropy, i.e., more selectivity). Kullback-Leibler divergence is another entropy measurement that considers the a priori unequal target distribution in the whole database (similar to Shannon entropy, a higher value corresponds to more promiscuity in general). Finally, a neural network trained to predict the promiscuity of the ligands was used, which provided a score proportional to the expected promiscuity of the ligand. It was shown that this score is linearly independent to entropy measurements. </w:t>
      </w:r>
    </w:p>
    <w:p w:rsidR="00E43BB5" w:rsidRDefault="00E43BB5">
      <w:pPr>
        <w:widowControl w:val="0"/>
        <w:spacing w:after="0"/>
        <w:jc w:val="both"/>
        <w:rPr>
          <w:rFonts w:ascii="Arial" w:eastAsia="Arial" w:hAnsi="Arial" w:cs="Arial"/>
        </w:rPr>
      </w:pPr>
    </w:p>
    <w:sectPr w:rsidR="00E43BB5" w:rsidSect="00450CC2">
      <w:footerReference w:type="default" r:id="rId12"/>
      <w:pgSz w:w="12240" w:h="15840"/>
      <w:pgMar w:top="578" w:right="851" w:bottom="43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01" w:rsidRDefault="00587001">
      <w:pPr>
        <w:spacing w:after="0" w:line="240" w:lineRule="auto"/>
      </w:pPr>
      <w:r>
        <w:separator/>
      </w:r>
    </w:p>
  </w:endnote>
  <w:endnote w:type="continuationSeparator" w:id="0">
    <w:p w:rsidR="00587001" w:rsidRDefault="0058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B5" w:rsidRDefault="00481378">
    <w:pP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sz w:val="18"/>
        <w:szCs w:val="18"/>
      </w:rPr>
      <w:t>S</w:t>
    </w:r>
    <w:r w:rsidR="007173AB">
      <w:rPr>
        <w:rFonts w:ascii="Arial" w:eastAsia="Arial" w:hAnsi="Arial" w:cs="Arial"/>
        <w:sz w:val="18"/>
        <w:szCs w:val="18"/>
      </w:rPr>
      <w:fldChar w:fldCharType="begin"/>
    </w:r>
    <w:r w:rsidR="007173AB">
      <w:rPr>
        <w:rFonts w:ascii="Arial" w:eastAsia="Arial" w:hAnsi="Arial" w:cs="Arial"/>
        <w:sz w:val="18"/>
        <w:szCs w:val="18"/>
      </w:rPr>
      <w:instrText>PAGE</w:instrText>
    </w:r>
    <w:r w:rsidR="007173AB">
      <w:rPr>
        <w:rFonts w:ascii="Arial" w:eastAsia="Arial" w:hAnsi="Arial" w:cs="Arial"/>
        <w:sz w:val="18"/>
        <w:szCs w:val="18"/>
      </w:rPr>
      <w:fldChar w:fldCharType="separate"/>
    </w:r>
    <w:r w:rsidR="00C70266">
      <w:rPr>
        <w:rFonts w:ascii="Arial" w:eastAsia="Arial" w:hAnsi="Arial" w:cs="Arial"/>
        <w:noProof/>
        <w:sz w:val="18"/>
        <w:szCs w:val="18"/>
      </w:rPr>
      <w:t>1</w:t>
    </w:r>
    <w:r w:rsidR="007173AB">
      <w:rPr>
        <w:rFonts w:ascii="Arial" w:eastAsia="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01" w:rsidRDefault="00587001">
      <w:pPr>
        <w:spacing w:after="0" w:line="240" w:lineRule="auto"/>
      </w:pPr>
      <w:r>
        <w:separator/>
      </w:r>
    </w:p>
  </w:footnote>
  <w:footnote w:type="continuationSeparator" w:id="0">
    <w:p w:rsidR="00587001" w:rsidRDefault="00587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B57D0"/>
    <w:multiLevelType w:val="multilevel"/>
    <w:tmpl w:val="4150E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3BB5"/>
    <w:rsid w:val="00450CC2"/>
    <w:rsid w:val="00481378"/>
    <w:rsid w:val="00587001"/>
    <w:rsid w:val="00713FF4"/>
    <w:rsid w:val="007173AB"/>
    <w:rsid w:val="00C70266"/>
    <w:rsid w:val="00E43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F9E42-D298-4F18-9864-89F654C0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813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378"/>
    <w:rPr>
      <w:rFonts w:ascii="Segoe UI" w:hAnsi="Segoe UI" w:cs="Segoe UI"/>
      <w:sz w:val="18"/>
      <w:szCs w:val="18"/>
    </w:rPr>
  </w:style>
  <w:style w:type="paragraph" w:styleId="Encabezado">
    <w:name w:val="header"/>
    <w:basedOn w:val="Normal"/>
    <w:link w:val="EncabezadoCar"/>
    <w:uiPriority w:val="99"/>
    <w:unhideWhenUsed/>
    <w:rsid w:val="004813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1378"/>
  </w:style>
  <w:style w:type="paragraph" w:styleId="Piedepgina">
    <w:name w:val="footer"/>
    <w:basedOn w:val="Normal"/>
    <w:link w:val="PiedepginaCar"/>
    <w:uiPriority w:val="99"/>
    <w:unhideWhenUsed/>
    <w:rsid w:val="004813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1000.com/work/citation?ids=3883310&amp;pre=&amp;suf=&amp;sa=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1000.com/work/citation?ids=3883310&amp;pre=&amp;suf=&amp;sa=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Medina</dc:creator>
  <cp:lastModifiedBy>Jose Luis Medina Franco</cp:lastModifiedBy>
  <cp:revision>5</cp:revision>
  <cp:lastPrinted>2018-05-25T19:55:00Z</cp:lastPrinted>
  <dcterms:created xsi:type="dcterms:W3CDTF">2018-05-25T19:53:00Z</dcterms:created>
  <dcterms:modified xsi:type="dcterms:W3CDTF">2018-06-22T14:20:00Z</dcterms:modified>
</cp:coreProperties>
</file>