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47A61F6" w14:textId="77777777" w:rsidR="00BB15BD" w:rsidRDefault="00F72B54">
      <w:pPr>
        <w:pStyle w:val="normal0"/>
      </w:pPr>
      <w:r>
        <w:rPr>
          <w:b/>
        </w:rPr>
        <w:t>Glossary</w:t>
      </w:r>
    </w:p>
    <w:p w14:paraId="560CDE8D" w14:textId="77777777" w:rsidR="00BB15BD" w:rsidRDefault="00BB15BD">
      <w:pPr>
        <w:pStyle w:val="normal0"/>
      </w:pP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6810"/>
      </w:tblGrid>
      <w:tr w:rsidR="00BB15BD" w14:paraId="2DBFDE0A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2AC4D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Term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8E116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Description</w:t>
            </w:r>
          </w:p>
        </w:tc>
      </w:tr>
      <w:tr w:rsidR="00BB15BD" w14:paraId="429E04C9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5DF54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>ASIC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6E1C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>Application-Specific Integrated Circuit. The electronics embedded to the underside of the flow cell that interpret the data from the sensor in a well.</w:t>
            </w:r>
          </w:p>
        </w:tc>
      </w:tr>
      <w:tr w:rsidR="00BB15BD" w14:paraId="5B563529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59FA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base</w:t>
            </w:r>
            <w:proofErr w:type="gramEnd"/>
            <w:r>
              <w:t>-called read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AA62F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 xml:space="preserve">A read </w:t>
            </w:r>
            <w:r>
              <w:t>containing either raw current measurements or events, and the base-calls inferred from the raw current measurements or events.</w:t>
            </w:r>
          </w:p>
        </w:tc>
      </w:tr>
      <w:tr w:rsidR="00BB15BD" w14:paraId="48727041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248CE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base</w:t>
            </w:r>
            <w:proofErr w:type="gramEnd"/>
            <w:r>
              <w:t>-calls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FB152" w14:textId="77777777" w:rsidR="00BB15BD" w:rsidRDefault="00F72B54" w:rsidP="00F72B54">
            <w:pPr>
              <w:pStyle w:val="normal0"/>
              <w:widowControl w:val="0"/>
              <w:spacing w:line="240" w:lineRule="auto"/>
            </w:pPr>
            <w:r>
              <w:t>The sequence of bases inferred for a read. Each base-called read may contain up to three sets of base-calls for</w:t>
            </w:r>
            <w:r>
              <w:t xml:space="preserve">; </w:t>
            </w: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the </w:t>
            </w:r>
            <w:r>
              <w:t>‘1D’ template strand of the library molecule;</w:t>
            </w:r>
            <w:r>
              <w:t xml:space="preserve"> (ii) the ‘1D’ complement strand of the library molecule</w:t>
            </w:r>
            <w:proofErr w:type="gramStart"/>
            <w:r>
              <w:t>;</w:t>
            </w:r>
            <w:proofErr w:type="gramEnd"/>
            <w:r>
              <w:t xml:space="preserve"> and/or (iii) the ‘2D’ base-calls inferred from the 1D information.</w:t>
            </w:r>
          </w:p>
        </w:tc>
      </w:tr>
      <w:tr w:rsidR="00BB15BD" w14:paraId="789CA5BA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942CE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base</w:t>
            </w:r>
            <w:proofErr w:type="gramEnd"/>
            <w:r>
              <w:t xml:space="preserve"> quality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C6D5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>The quality score associated with each base of the template, complem</w:t>
            </w:r>
            <w:r>
              <w:t>ent of 2D base-calls.</w:t>
            </w:r>
          </w:p>
        </w:tc>
      </w:tr>
      <w:tr w:rsidR="00BB15BD" w14:paraId="22C5D6F0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ED44C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batch</w:t>
            </w:r>
            <w:proofErr w:type="gramEnd"/>
            <w:r>
              <w:t xml:space="preserve"> id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327AB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>The name of the ‘run number’ identifier allocated to the reads of each instance of the sequencing script. The ‘run number’ has the format 1234_5 and is part of the pre- and post-base-</w:t>
            </w:r>
            <w:r>
              <w:t>called read filename.</w:t>
            </w:r>
          </w:p>
        </w:tc>
      </w:tr>
      <w:tr w:rsidR="00BB15BD" w14:paraId="600D6F6E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38CEE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bulk</w:t>
            </w:r>
            <w:proofErr w:type="gramEnd"/>
            <w:r>
              <w:t xml:space="preserve"> data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254D6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>The reads containing information on every ionic current measurement, rather than events.</w:t>
            </w:r>
          </w:p>
        </w:tc>
      </w:tr>
      <w:tr w:rsidR="00BB15BD" w14:paraId="22D3312F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8B90E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bulk</w:t>
            </w:r>
            <w:proofErr w:type="gramEnd"/>
            <w:r>
              <w:t xml:space="preserve"> FAST5 file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05614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 xml:space="preserve">A read file containing ‘raw data’, that is, all the ionic current measurements collected while the DNA passed through the </w:t>
            </w:r>
            <w:proofErr w:type="spellStart"/>
            <w:r>
              <w:t>nanopore</w:t>
            </w:r>
            <w:proofErr w:type="spellEnd"/>
            <w:r>
              <w:t>.</w:t>
            </w:r>
          </w:p>
        </w:tc>
      </w:tr>
      <w:tr w:rsidR="00BB15BD" w14:paraId="279E3795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28B8D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channel</w:t>
            </w:r>
            <w:proofErr w:type="gramEnd"/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071E5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>Electroni</w:t>
            </w:r>
            <w:r>
              <w:t xml:space="preserve">c current monitoring stream from one of the 4 possible wells associated with each channel. The </w:t>
            </w:r>
            <w:proofErr w:type="spellStart"/>
            <w:r>
              <w:t>MinION</w:t>
            </w:r>
            <w:proofErr w:type="spellEnd"/>
            <w:r>
              <w:t xml:space="preserve"> has 512 channels, making it possible to sequence a maximum of 512 library molecules simultaneously. </w:t>
            </w:r>
          </w:p>
        </w:tc>
      </w:tr>
      <w:tr w:rsidR="00BB15BD" w14:paraId="32D8B29E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71D5A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complement</w:t>
            </w:r>
            <w:proofErr w:type="gramEnd"/>
            <w:r>
              <w:t xml:space="preserve"> base-calls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DF7D0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>The base-calls inferred from t</w:t>
            </w:r>
            <w:r>
              <w:t>he bases located after the hairpin adapter, corresponding to the complement strand of the double-stranded DNA used to construct the library molecule being sequenced.</w:t>
            </w:r>
          </w:p>
        </w:tc>
      </w:tr>
      <w:tr w:rsidR="00BB15BD" w14:paraId="34C4D04E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918E3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complement</w:t>
            </w:r>
            <w:proofErr w:type="gramEnd"/>
            <w:r>
              <w:t xml:space="preserve"> read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C8CDE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>The raw current measurements or the events collected while the complement</w:t>
            </w:r>
            <w:r>
              <w:t xml:space="preserve"> part of the library molecule was passing through the </w:t>
            </w:r>
            <w:proofErr w:type="spellStart"/>
            <w:r>
              <w:t>nanopore</w:t>
            </w:r>
            <w:proofErr w:type="spellEnd"/>
            <w:r>
              <w:t>.</w:t>
            </w:r>
          </w:p>
        </w:tc>
      </w:tr>
      <w:tr w:rsidR="00BB15BD" w14:paraId="51EA6608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807E4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event</w:t>
            </w:r>
            <w:proofErr w:type="gramEnd"/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3A194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 xml:space="preserve">An ionic current measurement usually corresponding to the sequencing of a base in a channel. It is specified by the current mean and variance (in </w:t>
            </w:r>
            <w:proofErr w:type="spellStart"/>
            <w:r>
              <w:t>picoAmps</w:t>
            </w:r>
            <w:proofErr w:type="spellEnd"/>
            <w:r>
              <w:t xml:space="preserve">) and </w:t>
            </w:r>
            <w:proofErr w:type="gramStart"/>
            <w:r>
              <w:t>a duration</w:t>
            </w:r>
            <w:proofErr w:type="gramEnd"/>
            <w:r>
              <w:t xml:space="preserve"> (in units of 1</w:t>
            </w:r>
            <w:r>
              <w:t>/</w:t>
            </w:r>
            <w:proofErr w:type="spellStart"/>
            <w:r>
              <w:t>sampling_frequency</w:t>
            </w:r>
            <w:proofErr w:type="spellEnd"/>
            <w:r>
              <w:t>).</w:t>
            </w:r>
          </w:p>
        </w:tc>
      </w:tr>
      <w:tr w:rsidR="00BB15BD" w14:paraId="7733E41C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934C0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failed</w:t>
            </w:r>
            <w:proofErr w:type="gramEnd"/>
            <w:r>
              <w:t xml:space="preserve"> read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61A7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 xml:space="preserve">A base-called read is classified as a ‘failed’ read, and the FAST5 file deposited into the ‘fail’ sub-folder of the directory into which </w:t>
            </w:r>
            <w:proofErr w:type="spellStart"/>
            <w:r>
              <w:t>Metrichor</w:t>
            </w:r>
            <w:proofErr w:type="spellEnd"/>
            <w:r>
              <w:t xml:space="preserve"> downloads base-called reads to the connected computer, </w:t>
            </w:r>
            <w:r>
              <w:lastRenderedPageBreak/>
              <w:t>if: (</w:t>
            </w:r>
            <w:proofErr w:type="spellStart"/>
            <w:r>
              <w:t>i</w:t>
            </w:r>
            <w:proofErr w:type="spellEnd"/>
            <w:r>
              <w:t>) base-callin</w:t>
            </w:r>
            <w:r>
              <w:t>g failed; (ii) no 2D read was produced; or (iii) the 2D read had a mean base quality score &lt;= 9.</w:t>
            </w:r>
          </w:p>
        </w:tc>
      </w:tr>
      <w:tr w:rsidR="00BB15BD" w14:paraId="6EC80FE7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F8F7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lastRenderedPageBreak/>
              <w:t>FAST5 file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5E53B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>A file in FAST5 format.</w:t>
            </w:r>
          </w:p>
        </w:tc>
      </w:tr>
      <w:tr w:rsidR="00BB15BD" w14:paraId="491B0253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6FA58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>FAST5 format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ECB52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 xml:space="preserve">An implementation of the HDF5 format used to store pre- and post- base-called </w:t>
            </w:r>
            <w:proofErr w:type="spellStart"/>
            <w:r>
              <w:t>n</w:t>
            </w:r>
            <w:r>
              <w:t>anopore</w:t>
            </w:r>
            <w:proofErr w:type="spellEnd"/>
            <w:r>
              <w:t xml:space="preserve"> data. Note that the internal </w:t>
            </w:r>
            <w:proofErr w:type="gramStart"/>
            <w:r>
              <w:t>format of the two types of FAST5 files are</w:t>
            </w:r>
            <w:proofErr w:type="gramEnd"/>
            <w:r>
              <w:t xml:space="preserve"> not the same (see SI Table 2).</w:t>
            </w:r>
          </w:p>
        </w:tc>
      </w:tr>
      <w:tr w:rsidR="00BB15BD" w14:paraId="0E8CF685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F575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flow</w:t>
            </w:r>
            <w:proofErr w:type="gramEnd"/>
            <w:r>
              <w:t xml:space="preserve"> cell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9520A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 xml:space="preserve">The chip that is attached to the </w:t>
            </w:r>
            <w:proofErr w:type="spellStart"/>
            <w:r>
              <w:t>MinION</w:t>
            </w:r>
            <w:proofErr w:type="spellEnd"/>
            <w:r>
              <w:t xml:space="preserve"> device. It contains a port into which the library can be loaded, a polymer membrane, and wells</w:t>
            </w:r>
            <w:r>
              <w:t xml:space="preserve"> that contain (preferably one) </w:t>
            </w:r>
            <w:proofErr w:type="spellStart"/>
            <w:r>
              <w:t>containprotein</w:t>
            </w:r>
            <w:proofErr w:type="spellEnd"/>
            <w:r>
              <w:t xml:space="preserve"> </w:t>
            </w:r>
            <w:proofErr w:type="spellStart"/>
            <w:r>
              <w:t>nanopore</w:t>
            </w:r>
            <w:proofErr w:type="spellEnd"/>
            <w:r>
              <w:t>.</w:t>
            </w:r>
          </w:p>
        </w:tc>
      </w:tr>
      <w:tr w:rsidR="00BB15BD" w14:paraId="10847B4F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F839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hairpin</w:t>
            </w:r>
            <w:proofErr w:type="gramEnd"/>
            <w:r>
              <w:t xml:space="preserve"> adapter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48D7B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>Double-stranded DNA is made into a library molecule by ligating a leader-adapter to one end and a hairpin adapter (with a stem-loop structure) to the other. During sequencing, the pre</w:t>
            </w:r>
            <w:r>
              <w:t>sence of the hairpin adapter allows the complement part of the original double-stranded DNA to be sequenced and identified.</w:t>
            </w:r>
          </w:p>
        </w:tc>
      </w:tr>
      <w:tr w:rsidR="00BB15BD" w14:paraId="25A87264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2E16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>HDF5 format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3D829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>A flexible, efficient, multi-purpose data format used in many different fields to store heterogeneous data in a hierarc</w:t>
            </w:r>
            <w:r>
              <w:t xml:space="preserve">hy based on groups (analogous to directories) and datasets (analogous to files).  A dataset may have a simple type like an integer or float, or be a complex type that is effectively a table built from simple types. </w:t>
            </w:r>
          </w:p>
        </w:tc>
      </w:tr>
      <w:tr w:rsidR="00BB15BD" w14:paraId="1CE44184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2378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spellStart"/>
            <w:r>
              <w:t>Metrichor</w:t>
            </w:r>
            <w:proofErr w:type="spellEnd"/>
            <w:r>
              <w:t>™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294D4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>A company wholly owned by ON</w:t>
            </w:r>
            <w:r>
              <w:t xml:space="preserve">T that provides cloud-based analysis services, one of which is the </w:t>
            </w:r>
            <w:proofErr w:type="spellStart"/>
            <w:r>
              <w:t>nanopore</w:t>
            </w:r>
            <w:proofErr w:type="spellEnd"/>
            <w:r>
              <w:t xml:space="preserve"> </w:t>
            </w:r>
            <w:proofErr w:type="gramStart"/>
            <w:r>
              <w:t>base-calling</w:t>
            </w:r>
            <w:proofErr w:type="gramEnd"/>
            <w:r>
              <w:t>.</w:t>
            </w:r>
          </w:p>
        </w:tc>
      </w:tr>
      <w:tr w:rsidR="00BB15BD" w14:paraId="56B7D7A5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216C7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spellStart"/>
            <w:r>
              <w:t>Metrichor</w:t>
            </w:r>
            <w:proofErr w:type="spellEnd"/>
            <w:r>
              <w:t>™ Agent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0C87A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 xml:space="preserve">The software that sends reads to the ONT cloud-based </w:t>
            </w:r>
            <w:proofErr w:type="spellStart"/>
            <w:r>
              <w:t>basecaller</w:t>
            </w:r>
            <w:proofErr w:type="spellEnd"/>
            <w:r>
              <w:t xml:space="preserve"> hosted by </w:t>
            </w:r>
            <w:proofErr w:type="spellStart"/>
            <w:r>
              <w:t>Metrichor</w:t>
            </w:r>
            <w:proofErr w:type="spellEnd"/>
            <w:r>
              <w:t xml:space="preserve"> and returns the base-called reads to the local computer.</w:t>
            </w:r>
          </w:p>
        </w:tc>
      </w:tr>
      <w:tr w:rsidR="00BB15BD" w14:paraId="696E04CA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C15C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spellStart"/>
            <w:r>
              <w:t>MinION</w:t>
            </w:r>
            <w:proofErr w:type="spellEnd"/>
            <w:r>
              <w:t>™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EE041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 xml:space="preserve">The device produced by Oxford </w:t>
            </w:r>
            <w:proofErr w:type="spellStart"/>
            <w:r>
              <w:t>Nanopore</w:t>
            </w:r>
            <w:proofErr w:type="spellEnd"/>
            <w:r>
              <w:t xml:space="preserve"> Technologies that can measure properties of single-stranded DNA as it passes through a </w:t>
            </w:r>
            <w:proofErr w:type="spellStart"/>
            <w:r>
              <w:t>nanopore</w:t>
            </w:r>
            <w:proofErr w:type="spellEnd"/>
            <w:r>
              <w:t>.</w:t>
            </w:r>
          </w:p>
        </w:tc>
      </w:tr>
      <w:tr w:rsidR="00BB15BD" w14:paraId="7E5174F4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A97CB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spellStart"/>
            <w:r>
              <w:t>MinKNOW</w:t>
            </w:r>
            <w:proofErr w:type="spellEnd"/>
            <w:r>
              <w:t>™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E1B7D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 xml:space="preserve">The software running on the computer connected to the </w:t>
            </w:r>
            <w:proofErr w:type="spellStart"/>
            <w:r>
              <w:t>MinION</w:t>
            </w:r>
            <w:proofErr w:type="spellEnd"/>
            <w:r>
              <w:t xml:space="preserve"> device, that controls the sequencing run </w:t>
            </w:r>
            <w:r>
              <w:t>and the detection of events, and saves the QC, diagnostic and read data to the connected computer.</w:t>
            </w:r>
          </w:p>
        </w:tc>
      </w:tr>
      <w:tr w:rsidR="00BB15BD" w14:paraId="6452EDF0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C016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mux</w:t>
            </w:r>
            <w:proofErr w:type="gramEnd"/>
            <w:r>
              <w:t xml:space="preserve"> 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C0D1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>The process by which the quality of the pore in each of the 4 wells in a group are ranked and allocated, in order of best to poorest quality, to well-g</w:t>
            </w:r>
            <w:r>
              <w:t xml:space="preserve">roups g1 through to g4. At the end of the process, each of the </w:t>
            </w:r>
            <w:proofErr w:type="gramStart"/>
            <w:r>
              <w:t>well-groups</w:t>
            </w:r>
            <w:proofErr w:type="gramEnd"/>
            <w:r>
              <w:t xml:space="preserve">, referred to as g1 to g4, are associated with a maximum of 512 wells. For an experiment controlled by the standard 48Hr sequencing script, sequencing commences with the </w:t>
            </w:r>
            <w:proofErr w:type="spellStart"/>
            <w:r>
              <w:t>nanopores</w:t>
            </w:r>
            <w:proofErr w:type="spellEnd"/>
            <w:r>
              <w:t xml:space="preserve"> in</w:t>
            </w:r>
            <w:r>
              <w:t xml:space="preserve"> the g1 wells, and at 24h, sequencing switches to the </w:t>
            </w:r>
            <w:proofErr w:type="spellStart"/>
            <w:r>
              <w:t>nanopores</w:t>
            </w:r>
            <w:proofErr w:type="spellEnd"/>
            <w:r>
              <w:t xml:space="preserve"> in the g2 wells.</w:t>
            </w:r>
          </w:p>
        </w:tc>
      </w:tr>
      <w:tr w:rsidR="00BB15BD" w14:paraId="762E0C4E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EEC20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mux</w:t>
            </w:r>
            <w:proofErr w:type="gramEnd"/>
            <w:r>
              <w:t xml:space="preserve"> scan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55C99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>See re-mux.</w:t>
            </w:r>
          </w:p>
        </w:tc>
      </w:tr>
      <w:tr w:rsidR="00BB15BD" w14:paraId="75A912DD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B0B6A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spellStart"/>
            <w:proofErr w:type="gramStart"/>
            <w:r>
              <w:t>nanopore</w:t>
            </w:r>
            <w:proofErr w:type="spellEnd"/>
            <w:proofErr w:type="gramEnd"/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1BDBE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 xml:space="preserve">A protein pore, with a diameter measured in </w:t>
            </w:r>
            <w:proofErr w:type="spellStart"/>
            <w:r>
              <w:t>nanometers</w:t>
            </w:r>
            <w:proofErr w:type="spellEnd"/>
            <w:r>
              <w:t xml:space="preserve">, through which DNA molecules can pass through. </w:t>
            </w:r>
            <w:r>
              <w:t xml:space="preserve">The </w:t>
            </w:r>
            <w:proofErr w:type="spellStart"/>
            <w:r>
              <w:t>nanopores</w:t>
            </w:r>
            <w:proofErr w:type="spellEnd"/>
            <w:r>
              <w:t xml:space="preserve"> are embedded in a membrane located in a well of the flow cell. Ideally, </w:t>
            </w:r>
            <w:r>
              <w:lastRenderedPageBreak/>
              <w:t xml:space="preserve">a single </w:t>
            </w:r>
            <w:proofErr w:type="spellStart"/>
            <w:r>
              <w:t>nanopore</w:t>
            </w:r>
            <w:proofErr w:type="spellEnd"/>
            <w:r>
              <w:t xml:space="preserve"> is embedded in each well.</w:t>
            </w:r>
          </w:p>
        </w:tc>
      </w:tr>
      <w:tr w:rsidR="00BB15BD" w14:paraId="0EECDD1D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59740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lastRenderedPageBreak/>
              <w:t xml:space="preserve">Oxford </w:t>
            </w:r>
            <w:proofErr w:type="spellStart"/>
            <w:r>
              <w:t>Nanopore</w:t>
            </w:r>
            <w:proofErr w:type="spellEnd"/>
            <w:r>
              <w:t xml:space="preserve"> Technologies™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872E6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 xml:space="preserve">The company that produces commercial sequencing devices based on </w:t>
            </w:r>
            <w:proofErr w:type="spellStart"/>
            <w:r>
              <w:t>nanopore</w:t>
            </w:r>
            <w:proofErr w:type="spellEnd"/>
            <w:r>
              <w:t xml:space="preserve"> the sequencing techno</w:t>
            </w:r>
            <w:r>
              <w:t>logy.</w:t>
            </w:r>
            <w:proofErr w:type="gramEnd"/>
            <w:r>
              <w:t xml:space="preserve"> Their </w:t>
            </w:r>
            <w:proofErr w:type="spellStart"/>
            <w:r>
              <w:t>MinION</w:t>
            </w:r>
            <w:proofErr w:type="spellEnd"/>
            <w:r>
              <w:t xml:space="preserve"> device sequences double-stranded DNA.</w:t>
            </w:r>
          </w:p>
        </w:tc>
      </w:tr>
      <w:tr w:rsidR="00BB15BD" w14:paraId="7DDE31B4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B693E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pass</w:t>
            </w:r>
            <w:proofErr w:type="gramEnd"/>
            <w:r>
              <w:t xml:space="preserve"> read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42D7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 xml:space="preserve">Any base-called read that was not classified as ‘failed’ (see ‘pass read’) has a classification of ‘pass’ and is deposited into the ‘pass’ sub-folder of the directory into which </w:t>
            </w:r>
            <w:proofErr w:type="spellStart"/>
            <w:r>
              <w:t>Metrichor</w:t>
            </w:r>
            <w:proofErr w:type="spellEnd"/>
            <w:r>
              <w:t xml:space="preserve"> downloads base-called reads to the connected computer</w:t>
            </w:r>
          </w:p>
        </w:tc>
      </w:tr>
      <w:tr w:rsidR="00BB15BD" w14:paraId="61D5B748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5D37B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pore</w:t>
            </w:r>
            <w:proofErr w:type="gramEnd"/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EF0B8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>See ‘</w:t>
            </w:r>
            <w:proofErr w:type="spellStart"/>
            <w:r>
              <w:t>nan</w:t>
            </w:r>
            <w:r>
              <w:t>opore</w:t>
            </w:r>
            <w:proofErr w:type="spellEnd"/>
            <w:r>
              <w:t>’.</w:t>
            </w:r>
          </w:p>
        </w:tc>
      </w:tr>
      <w:tr w:rsidR="00BB15BD" w14:paraId="0CD23B01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52955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pore</w:t>
            </w:r>
            <w:proofErr w:type="gramEnd"/>
            <w:r>
              <w:t>-switch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F9C77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 xml:space="preserve">The transition by which the 512 channels use the active pores in wells of one group to a subsequent group. In the standard 48 </w:t>
            </w:r>
            <w:proofErr w:type="spellStart"/>
            <w:r>
              <w:t>hr</w:t>
            </w:r>
            <w:proofErr w:type="spellEnd"/>
            <w:r>
              <w:t xml:space="preserve"> sequencing protocol, a switch from the active pores in the g1 wells to the active pores in the g2 wells oc</w:t>
            </w:r>
            <w:r>
              <w:t xml:space="preserve">curs at 24 hrs. </w:t>
            </w:r>
          </w:p>
        </w:tc>
      </w:tr>
      <w:tr w:rsidR="00BB15BD" w14:paraId="51AEFC3E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E4A8F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raw</w:t>
            </w:r>
            <w:proofErr w:type="gramEnd"/>
            <w:r>
              <w:t xml:space="preserve"> data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4ECE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 xml:space="preserve">The ionic current measurements, measured several thousand times per second, by a sensor in a well. Raw data are found in ‘bulk FAST5 files’. Consecutive raw ionic current measurements that fluctuate around a particular value are </w:t>
            </w:r>
            <w:r>
              <w:t>merged into an event.</w:t>
            </w:r>
          </w:p>
        </w:tc>
      </w:tr>
      <w:tr w:rsidR="00BB15BD" w14:paraId="3B519B19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FB455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read</w:t>
            </w:r>
            <w:proofErr w:type="gramEnd"/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60A9B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>The data produced by the sequencing of a library molecule. A pre-</w:t>
            </w:r>
            <w:proofErr w:type="spellStart"/>
            <w:r>
              <w:t>basecalled</w:t>
            </w:r>
            <w:proofErr w:type="spellEnd"/>
            <w:r>
              <w:t xml:space="preserve"> read, produced by the </w:t>
            </w:r>
            <w:proofErr w:type="spellStart"/>
            <w:r>
              <w:t>MinION</w:t>
            </w:r>
            <w:proofErr w:type="spellEnd"/>
            <w:r>
              <w:t xml:space="preserve"> device and stored on the connected computer, contains metadata that documents how the read was acquired and either a sequen</w:t>
            </w:r>
            <w:r>
              <w:t xml:space="preserve">ce of every ionic current measurement made as the library molecule </w:t>
            </w:r>
            <w:proofErr w:type="spellStart"/>
            <w:r>
              <w:t>translocated</w:t>
            </w:r>
            <w:proofErr w:type="spellEnd"/>
            <w:r>
              <w:t xml:space="preserve"> through the pore, or the sequence of events consisting constructed by merging the raw ionic current measurements.</w:t>
            </w:r>
          </w:p>
        </w:tc>
      </w:tr>
      <w:tr w:rsidR="00BB15BD" w14:paraId="17C86125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F02A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re</w:t>
            </w:r>
            <w:proofErr w:type="gramEnd"/>
            <w:r>
              <w:t>-mux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54C2E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>Process by which active pores are identified and re-as</w:t>
            </w:r>
            <w:r>
              <w:t xml:space="preserve">signed to channels </w:t>
            </w:r>
            <w:proofErr w:type="gramStart"/>
            <w:r>
              <w:t>well-groups</w:t>
            </w:r>
            <w:proofErr w:type="gramEnd"/>
            <w:r>
              <w:t>.</w:t>
            </w:r>
          </w:p>
        </w:tc>
      </w:tr>
      <w:tr w:rsidR="00BB15BD" w14:paraId="3447BA46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39983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squiggle</w:t>
            </w:r>
            <w:proofErr w:type="gramEnd"/>
            <w:r>
              <w:t xml:space="preserve"> plot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524F6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>A plot of the bulk or event current measurements over time.</w:t>
            </w:r>
          </w:p>
        </w:tc>
      </w:tr>
      <w:tr w:rsidR="00BB15BD" w14:paraId="01A5CDD0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DF27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template</w:t>
            </w:r>
            <w:proofErr w:type="gramEnd"/>
            <w:r>
              <w:t xml:space="preserve"> base-calls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ABF33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>The base-calls inferred from the first strand of the double-stranded sample DNA incorporated</w:t>
            </w:r>
            <w:bookmarkStart w:id="0" w:name="_GoBack"/>
            <w:r>
              <w:t xml:space="preserve"> </w:t>
            </w:r>
            <w:bookmarkEnd w:id="0"/>
            <w:r>
              <w:t>into the library molecule.</w:t>
            </w:r>
          </w:p>
        </w:tc>
      </w:tr>
      <w:tr w:rsidR="00BB15BD" w14:paraId="422858FA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56693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template</w:t>
            </w:r>
            <w:proofErr w:type="gramEnd"/>
            <w:r>
              <w:t xml:space="preserve"> read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CF038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 xml:space="preserve">The raw current measurements or the events collected while the template part of the library molecule was passing through the </w:t>
            </w:r>
            <w:proofErr w:type="spellStart"/>
            <w:r>
              <w:t>nanopore</w:t>
            </w:r>
            <w:proofErr w:type="spellEnd"/>
            <w:r>
              <w:t>.</w:t>
            </w:r>
          </w:p>
        </w:tc>
      </w:tr>
      <w:tr w:rsidR="00BB15BD" w14:paraId="166C7123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A5759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unclassified</w:t>
            </w:r>
            <w:proofErr w:type="gramEnd"/>
            <w:r>
              <w:t xml:space="preserve"> read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5B3B8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>A read that cannot be classified as originating from DNA from a target or control sample</w:t>
            </w:r>
            <w:r>
              <w:t xml:space="preserve"> because the read could not be aligned to the target or control reference(s).</w:t>
            </w:r>
          </w:p>
        </w:tc>
      </w:tr>
      <w:tr w:rsidR="00BB15BD" w14:paraId="1DC68F20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D16A4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well</w:t>
            </w:r>
            <w:proofErr w:type="gramEnd"/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83FF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 xml:space="preserve">A physical hole in the flow cell array containing a polymer membrane and zero or more protein </w:t>
            </w:r>
            <w:proofErr w:type="spellStart"/>
            <w:r>
              <w:t>nanopores</w:t>
            </w:r>
            <w:proofErr w:type="spellEnd"/>
            <w:r>
              <w:t xml:space="preserve">. The current R7.3 flow cells contain 2,048 wells. Wells are grouped </w:t>
            </w:r>
            <w:r>
              <w:t>into sets of 4. The active well produces the data stream for the associated channel.</w:t>
            </w:r>
          </w:p>
        </w:tc>
      </w:tr>
      <w:tr w:rsidR="00BB15BD" w14:paraId="2F91FF16" w14:textId="77777777"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D8F05" w14:textId="77777777" w:rsidR="00BB15BD" w:rsidRDefault="00F72B54">
            <w:pPr>
              <w:pStyle w:val="normal0"/>
              <w:widowControl w:val="0"/>
              <w:spacing w:line="240" w:lineRule="auto"/>
            </w:pPr>
            <w:proofErr w:type="gramStart"/>
            <w:r>
              <w:t>pore</w:t>
            </w:r>
            <w:proofErr w:type="gramEnd"/>
            <w:r>
              <w:t xml:space="preserve"> (group) switch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4AF33" w14:textId="77777777" w:rsidR="00BB15BD" w:rsidRDefault="00F72B54">
            <w:pPr>
              <w:pStyle w:val="normal0"/>
              <w:widowControl w:val="0"/>
              <w:spacing w:line="240" w:lineRule="auto"/>
            </w:pPr>
            <w:r>
              <w:t>The transition by which the 512 channels receiving the data stream from the active pores in wells of one group switch to receiving the data stream fro</w:t>
            </w:r>
            <w:r>
              <w:t xml:space="preserve">m a subsequent group. In the standard 48h </w:t>
            </w:r>
            <w:r>
              <w:lastRenderedPageBreak/>
              <w:t>sequencing script, a switch from the active pores in the g1 wells to the active pores in the g2 wells occurs at 24h.</w:t>
            </w:r>
          </w:p>
        </w:tc>
      </w:tr>
    </w:tbl>
    <w:p w14:paraId="0EF3B461" w14:textId="77777777" w:rsidR="00BB15BD" w:rsidRDefault="00BB15BD">
      <w:pPr>
        <w:pStyle w:val="normal0"/>
      </w:pPr>
    </w:p>
    <w:sectPr w:rsidR="00BB15BD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4D49C" w14:textId="77777777" w:rsidR="00000000" w:rsidRDefault="00F72B54">
      <w:pPr>
        <w:spacing w:line="240" w:lineRule="auto"/>
      </w:pPr>
      <w:r>
        <w:separator/>
      </w:r>
    </w:p>
  </w:endnote>
  <w:endnote w:type="continuationSeparator" w:id="0">
    <w:p w14:paraId="4DFE4A13" w14:textId="77777777" w:rsidR="00000000" w:rsidRDefault="00F72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E11CC" w14:textId="77777777" w:rsidR="00BB15BD" w:rsidRDefault="00F72B54">
    <w:pPr>
      <w:pStyle w:val="normal0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BA85C" w14:textId="77777777" w:rsidR="00000000" w:rsidRDefault="00F72B54">
      <w:pPr>
        <w:spacing w:line="240" w:lineRule="auto"/>
      </w:pPr>
      <w:r>
        <w:separator/>
      </w:r>
    </w:p>
  </w:footnote>
  <w:footnote w:type="continuationSeparator" w:id="0">
    <w:p w14:paraId="15040868" w14:textId="77777777" w:rsidR="00000000" w:rsidRDefault="00F72B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15BD"/>
    <w:rsid w:val="00BB15BD"/>
    <w:rsid w:val="00F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F1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1121</Words>
  <Characters>6393</Characters>
  <Application>Microsoft Macintosh Word</Application>
  <DocSecurity>0</DocSecurity>
  <Lines>53</Lines>
  <Paragraphs>14</Paragraphs>
  <ScaleCrop>false</ScaleCrop>
  <Company>WTCHG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Camilla Ip</cp:lastModifiedBy>
  <cp:revision>2</cp:revision>
  <dcterms:created xsi:type="dcterms:W3CDTF">2015-10-06T02:35:00Z</dcterms:created>
  <dcterms:modified xsi:type="dcterms:W3CDTF">2015-10-06T02:37:00Z</dcterms:modified>
</cp:coreProperties>
</file>