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E7" w:rsidRPr="009B6EE7" w:rsidRDefault="009B6EE7" w:rsidP="009B6EE7">
      <w:pPr>
        <w:pStyle w:val="NormalWeb"/>
        <w:rPr>
          <w:u w:val="single"/>
        </w:rPr>
      </w:pPr>
      <w:r w:rsidRPr="009B6EE7">
        <w:rPr>
          <w:u w:val="single"/>
        </w:rPr>
        <w:t>Complete list of</w:t>
      </w:r>
      <w:r w:rsidRPr="009B6EE7">
        <w:rPr>
          <w:u w:val="single"/>
        </w:rPr>
        <w:t xml:space="preserve"> identified broad research needs identified at the workshop 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Improved tools and model systems for drug discovery and development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Increased utilization of existing tools and model systems for mechanistic research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 xml:space="preserve">Deep metabolic and neurocognitive </w:t>
      </w:r>
      <w:proofErr w:type="spellStart"/>
      <w:r>
        <w:t>phenotyping</w:t>
      </w:r>
      <w:proofErr w:type="spellEnd"/>
      <w:r>
        <w:t xml:space="preserve"> in human studies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Improved biomarkers for use in human studies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Increased utilization of existing biomarkers for human studies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Improved human neuroimaging technologies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Detailed metabolomics analysis of individual brain regions in both diabetes and dementia, using techniques such as imaging mass spectrometry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Increased utilization of existing, novel human neuroimaging technologies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Longitudinal human studies assessing cognition, metabolism and diet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Human studies manipulating diet to determine causality and identify specific aspects of foods (e.g. macronutrients such as saturated fatty acids) that negatively impact brain and brain function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 xml:space="preserve">An operational definition of “brain insulin resistance” and tools for measuring brain insulin signaling </w:t>
      </w:r>
      <w:r w:rsidRPr="009B6EE7">
        <w:rPr>
          <w:i/>
          <w:iCs/>
        </w:rPr>
        <w:t>in vivo</w:t>
      </w:r>
      <w:r>
        <w:t xml:space="preserve"> 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 xml:space="preserve">Better understanding of insulin action on </w:t>
      </w:r>
      <w:proofErr w:type="spellStart"/>
      <w:r>
        <w:t>astroglial</w:t>
      </w:r>
      <w:proofErr w:type="spellEnd"/>
      <w:r>
        <w:t xml:space="preserve"> versus neuronal cells as this relates to altered brain function in diabetes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Development of a protocol to define and measure a “brain health index” for persons with metabolic dysfunction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Need for harmonization and standardization across measures and protocols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Combined human, animal, and cell culture studies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 xml:space="preserve">Increased attention to gut-brain signaling, </w:t>
      </w:r>
      <w:proofErr w:type="spellStart"/>
      <w:r>
        <w:t>microbiome</w:t>
      </w:r>
      <w:proofErr w:type="spellEnd"/>
      <w:r>
        <w:t>, and the relationship to obesity, metabolic disease, and neurocognitive dysfunction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Evaluation of weight loss and diet for reversing or improving cognition</w:t>
      </w:r>
    </w:p>
    <w:p w:rsidR="009B6EE7" w:rsidRDefault="009B6EE7" w:rsidP="009B6EE7">
      <w:pPr>
        <w:pStyle w:val="NormalWeb"/>
        <w:numPr>
          <w:ilvl w:val="0"/>
          <w:numId w:val="2"/>
        </w:numPr>
      </w:pPr>
      <w:r>
        <w:t>Interdisciplinary teams collaborating on research at the intersection of metabolism and brain dysfunction</w:t>
      </w:r>
    </w:p>
    <w:p w:rsidR="0046321C" w:rsidRDefault="009B6EE7" w:rsidP="009B6EE7">
      <w:pPr>
        <w:pStyle w:val="NormalWeb"/>
        <w:numPr>
          <w:ilvl w:val="0"/>
          <w:numId w:val="2"/>
        </w:numPr>
      </w:pPr>
      <w:r>
        <w:t>Engaging and maintaining junior researchers in the field</w:t>
      </w:r>
      <w:bookmarkStart w:id="0" w:name="_GoBack"/>
      <w:bookmarkEnd w:id="0"/>
    </w:p>
    <w:sectPr w:rsidR="0046321C" w:rsidSect="004632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1346"/>
    <w:multiLevelType w:val="hybridMultilevel"/>
    <w:tmpl w:val="3400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653E1"/>
    <w:multiLevelType w:val="multilevel"/>
    <w:tmpl w:val="548E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E7"/>
    <w:rsid w:val="0046321C"/>
    <w:rsid w:val="009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683B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E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label">
    <w:name w:val="label"/>
    <w:basedOn w:val="DefaultParagraphFont"/>
    <w:rsid w:val="009B6E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E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label">
    <w:name w:val="label"/>
    <w:basedOn w:val="DefaultParagraphFont"/>
    <w:rsid w:val="009B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1501</Characters>
  <Application>Microsoft Macintosh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E Stoeckel</dc:creator>
  <cp:keywords/>
  <dc:description/>
  <cp:lastModifiedBy>Luke E Stoeckel</cp:lastModifiedBy>
  <cp:revision>1</cp:revision>
  <dcterms:created xsi:type="dcterms:W3CDTF">2016-05-26T14:10:00Z</dcterms:created>
  <dcterms:modified xsi:type="dcterms:W3CDTF">2016-05-26T14:18:00Z</dcterms:modified>
</cp:coreProperties>
</file>