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DDF" w:rsidRPr="00020945" w:rsidRDefault="00020945" w:rsidP="00020945">
      <w:pPr>
        <w:spacing w:line="240" w:lineRule="auto"/>
        <w:rPr>
          <w:rFonts w:ascii="Times New Roman" w:hAnsi="Times New Roman" w:cs="Times New Roman"/>
          <w:b/>
          <w:sz w:val="24"/>
          <w:szCs w:val="20"/>
        </w:rPr>
      </w:pPr>
      <w:bookmarkStart w:id="0" w:name="_GoBack"/>
      <w:bookmarkEnd w:id="0"/>
      <w:r w:rsidRPr="00020945">
        <w:rPr>
          <w:rFonts w:ascii="Times New Roman" w:hAnsi="Times New Roman" w:cs="Times New Roman"/>
          <w:b/>
          <w:sz w:val="24"/>
          <w:szCs w:val="20"/>
        </w:rPr>
        <w:t>Appendix A</w:t>
      </w:r>
      <w:r w:rsidR="005729CF">
        <w:rPr>
          <w:rFonts w:ascii="Times New Roman" w:hAnsi="Times New Roman" w:cs="Times New Roman"/>
          <w:b/>
          <w:sz w:val="24"/>
          <w:szCs w:val="20"/>
        </w:rPr>
        <w:t>: M</w:t>
      </w:r>
      <w:r w:rsidRPr="00020945">
        <w:rPr>
          <w:rFonts w:ascii="Times New Roman" w:hAnsi="Times New Roman" w:cs="Times New Roman"/>
          <w:b/>
          <w:sz w:val="24"/>
          <w:szCs w:val="20"/>
        </w:rPr>
        <w:t>ethods</w:t>
      </w:r>
    </w:p>
    <w:p w:rsidR="00BC6DDF" w:rsidRPr="00020945" w:rsidRDefault="00BC6DDF" w:rsidP="00020945">
      <w:pPr>
        <w:spacing w:line="240" w:lineRule="auto"/>
        <w:jc w:val="both"/>
        <w:rPr>
          <w:rFonts w:ascii="Times New Roman" w:hAnsi="Times New Roman" w:cs="Times New Roman"/>
          <w:sz w:val="20"/>
          <w:szCs w:val="20"/>
        </w:rPr>
      </w:pPr>
      <w:r w:rsidRPr="00020945">
        <w:rPr>
          <w:rFonts w:ascii="Times New Roman" w:hAnsi="Times New Roman" w:cs="Times New Roman"/>
          <w:sz w:val="20"/>
          <w:szCs w:val="20"/>
        </w:rPr>
        <w:t xml:space="preserve">The government is faced with the decision of whether to stockpile Tamiflu or not. We utilise a simple decision theoretic model based on a linear loss function to move from statistical results and prior knowledge to a decision. The objective in Bayesian decision problems is to choose the action that minimises the expected value of a loss function with respect to the posterior distributions, if data are available, or with respect to prior distributions, if no data are available, for uncertain parameters. In our case we have two actions, </w:t>
      </w:r>
      <m:oMath>
        <m:sSub>
          <m:sSubPr>
            <m:ctrlPr>
              <w:rPr>
                <w:rFonts w:ascii="Cambria Math" w:hAnsi="Cambria Math" w:cs="Times New Roman"/>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oMath>
      <w:r w:rsidRPr="00020945">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oMath>
      <w:r w:rsidRPr="00020945">
        <w:rPr>
          <w:rFonts w:ascii="Times New Roman" w:hAnsi="Times New Roman" w:cs="Times New Roman"/>
          <w:sz w:val="20"/>
          <w:szCs w:val="20"/>
        </w:rPr>
        <w:t xml:space="preserve">, corresponding to not stockpiling and stockpiling, respectively, and we have a vector of uncertain parameters, </w:t>
      </w:r>
      <m:oMath>
        <m:r>
          <w:rPr>
            <w:rFonts w:ascii="Cambria Math" w:hAnsi="Cambria Math" w:cs="Times New Roman"/>
            <w:sz w:val="20"/>
            <w:szCs w:val="20"/>
          </w:rPr>
          <m:t>π</m:t>
        </m:r>
      </m:oMath>
      <w:r w:rsidRPr="00020945">
        <w:rPr>
          <w:rFonts w:ascii="Times New Roman" w:hAnsi="Times New Roman" w:cs="Times New Roman"/>
          <w:sz w:val="20"/>
          <w:szCs w:val="20"/>
        </w:rPr>
        <w:t xml:space="preserve">, which includes the effectiveness of NAIs, </w:t>
      </w:r>
      <m:oMath>
        <m:r>
          <w:rPr>
            <w:rFonts w:ascii="Cambria Math" w:hAnsi="Cambria Math" w:cs="Times New Roman"/>
            <w:sz w:val="20"/>
            <w:szCs w:val="20"/>
          </w:rPr>
          <m:t>θ</m:t>
        </m:r>
      </m:oMath>
      <w:r w:rsidRPr="00020945">
        <w:rPr>
          <w:rFonts w:ascii="Times New Roman" w:hAnsi="Times New Roman" w:cs="Times New Roman"/>
          <w:sz w:val="20"/>
          <w:szCs w:val="20"/>
        </w:rPr>
        <w:t xml:space="preserve">, the clinical attack rate of influenza, </w:t>
      </w:r>
      <m:oMath>
        <m:r>
          <w:rPr>
            <w:rFonts w:ascii="Cambria Math" w:hAnsi="Cambria Math" w:cs="Times New Roman"/>
            <w:sz w:val="20"/>
            <w:szCs w:val="20"/>
          </w:rPr>
          <m:t>CAR</m:t>
        </m:r>
      </m:oMath>
      <w:r w:rsidRPr="00020945">
        <w:rPr>
          <w:rFonts w:ascii="Times New Roman" w:hAnsi="Times New Roman" w:cs="Times New Roman"/>
          <w:sz w:val="20"/>
          <w:szCs w:val="20"/>
        </w:rPr>
        <w:t xml:space="preserve">, the case fatality ratio of pandemic influenza, </w:t>
      </w:r>
      <m:oMath>
        <m:r>
          <w:rPr>
            <w:rFonts w:ascii="Cambria Math" w:hAnsi="Cambria Math" w:cs="Times New Roman"/>
            <w:sz w:val="20"/>
            <w:szCs w:val="20"/>
          </w:rPr>
          <m:t>CFR</m:t>
        </m:r>
      </m:oMath>
      <w:r w:rsidRPr="00020945">
        <w:rPr>
          <w:rFonts w:ascii="Times New Roman" w:hAnsi="Times New Roman" w:cs="Times New Roman"/>
          <w:sz w:val="20"/>
          <w:szCs w:val="20"/>
        </w:rPr>
        <w:t xml:space="preserve">, the QALY losses associated with a pandemic influenza death, </w:t>
      </w:r>
      <m:oMath>
        <m:r>
          <w:rPr>
            <w:rFonts w:ascii="Cambria Math" w:hAnsi="Cambria Math" w:cs="Times New Roman"/>
            <w:sz w:val="20"/>
            <w:szCs w:val="20"/>
          </w:rPr>
          <m:t>QALY</m:t>
        </m:r>
      </m:oMath>
      <w:r w:rsidRPr="00020945">
        <w:rPr>
          <w:rFonts w:ascii="Times New Roman" w:hAnsi="Times New Roman" w:cs="Times New Roman"/>
          <w:sz w:val="20"/>
          <w:szCs w:val="20"/>
        </w:rPr>
        <w:t xml:space="preserve">, the probability of a pandemic occurring in the shelf life of NAIs, </w:t>
      </w:r>
      <m:oMath>
        <m:r>
          <w:rPr>
            <w:rFonts w:ascii="Cambria Math" w:hAnsi="Cambria Math" w:cs="Times New Roman"/>
            <w:sz w:val="20"/>
            <w:szCs w:val="20"/>
          </w:rPr>
          <m:t>Prob</m:t>
        </m:r>
      </m:oMath>
      <w:r w:rsidRPr="00020945">
        <w:rPr>
          <w:rFonts w:ascii="Times New Roman" w:hAnsi="Times New Roman" w:cs="Times New Roman"/>
          <w:sz w:val="20"/>
          <w:szCs w:val="20"/>
        </w:rPr>
        <w:t>, and the probability that a pandemic influenza death occurred in a person who was hospitalised. We specify these parameters later. The setting for our decision is an influenza pandemic and we will choose to stockpile NAIs if the expected losses of stockpiling are less than the expected losses for not stockpiling. We consider only deaths arising from stockpiling and no other potential outcome such as pneumonia.</w:t>
      </w:r>
    </w:p>
    <w:p w:rsidR="00BC6DDF" w:rsidRPr="00020945" w:rsidRDefault="00BC6DDF" w:rsidP="00020945">
      <w:pPr>
        <w:spacing w:line="240" w:lineRule="auto"/>
        <w:jc w:val="both"/>
        <w:rPr>
          <w:rFonts w:ascii="Times New Roman" w:hAnsi="Times New Roman" w:cs="Times New Roman"/>
          <w:sz w:val="20"/>
          <w:szCs w:val="20"/>
        </w:rPr>
      </w:pPr>
      <w:r w:rsidRPr="00020945">
        <w:rPr>
          <w:rFonts w:ascii="Times New Roman" w:hAnsi="Times New Roman" w:cs="Times New Roman"/>
          <w:sz w:val="20"/>
          <w:szCs w:val="20"/>
        </w:rPr>
        <w:t xml:space="preserve">The losses from not stockpiling are the expected value of the deaths that may occur due to pandemic influenza, </w:t>
      </w:r>
      <m:oMath>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lost</m:t>
            </m:r>
          </m:sub>
        </m:sSub>
      </m:oMath>
      <w:r w:rsidRPr="00020945">
        <w:rPr>
          <w:rFonts w:ascii="Times New Roman" w:hAnsi="Times New Roman" w:cs="Times New Roman"/>
          <w:sz w:val="20"/>
          <w:szCs w:val="20"/>
        </w:rPr>
        <w:t xml:space="preserve">. The losses from stockpiling are </w:t>
      </w:r>
      <m:oMath>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lost</m:t>
            </m:r>
          </m:sub>
        </m:sSub>
      </m:oMath>
      <w:r w:rsidRPr="00020945">
        <w:rPr>
          <w:rFonts w:ascii="Times New Roman" w:hAnsi="Times New Roman" w:cs="Times New Roman"/>
          <w:sz w:val="20"/>
          <w:szCs w:val="20"/>
        </w:rPr>
        <w:t xml:space="preserve"> plus the costs of stockpiling, </w:t>
      </w:r>
      <m:oMath>
        <m:r>
          <w:rPr>
            <w:rFonts w:ascii="Cambria Math" w:hAnsi="Cambria Math" w:cs="Times New Roman"/>
            <w:sz w:val="20"/>
            <w:szCs w:val="20"/>
          </w:rPr>
          <m:t>c</m:t>
        </m:r>
      </m:oMath>
      <w:r w:rsidRPr="00020945">
        <w:rPr>
          <w:rFonts w:ascii="Times New Roman" w:hAnsi="Times New Roman" w:cs="Times New Roman"/>
          <w:sz w:val="20"/>
          <w:szCs w:val="20"/>
        </w:rPr>
        <w:t xml:space="preserve">, minus the value of the deaths averted due to stockpiling </w:t>
      </w:r>
      <m:oMath>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averted</m:t>
            </m:r>
          </m:sub>
        </m:sSub>
      </m:oMath>
      <w:r w:rsidRPr="00020945">
        <w:rPr>
          <w:rFonts w:ascii="Times New Roman" w:hAnsi="Times New Roman" w:cs="Times New Roman"/>
          <w:sz w:val="20"/>
          <w:szCs w:val="20"/>
        </w:rPr>
        <w:t xml:space="preserve">. We specify a simple linear loss function: </w:t>
      </w:r>
      <m:oMath>
        <m:r>
          <w:rPr>
            <w:rFonts w:ascii="Cambria Math" w:hAnsi="Cambria Math" w:cs="Times New Roman"/>
            <w:sz w:val="20"/>
            <w:szCs w:val="20"/>
          </w:rPr>
          <m:t>L</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r>
              <w:rPr>
                <w:rFonts w:ascii="Cambria Math" w:hAnsi="Cambria Math" w:cs="Times New Roman"/>
                <w:sz w:val="20"/>
                <w:szCs w:val="20"/>
              </w:rPr>
              <m:t>,π</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lost</m:t>
            </m:r>
          </m:sub>
        </m:sSub>
      </m:oMath>
      <w:r w:rsidRPr="00020945">
        <w:rPr>
          <w:rFonts w:ascii="Times New Roman" w:hAnsi="Times New Roman" w:cs="Times New Roman"/>
          <w:sz w:val="20"/>
          <w:szCs w:val="20"/>
        </w:rPr>
        <w:t xml:space="preserve"> and </w:t>
      </w:r>
      <m:oMath>
        <m:r>
          <w:rPr>
            <w:rFonts w:ascii="Cambria Math" w:hAnsi="Cambria Math" w:cs="Times New Roman"/>
            <w:sz w:val="20"/>
            <w:szCs w:val="20"/>
          </w:rPr>
          <m:t>L</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r>
              <w:rPr>
                <w:rFonts w:ascii="Cambria Math" w:hAnsi="Cambria Math" w:cs="Times New Roman"/>
                <w:sz w:val="20"/>
                <w:szCs w:val="20"/>
              </w:rPr>
              <m:t>,π</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lost</m:t>
            </m:r>
          </m:sub>
        </m:sSub>
        <m:r>
          <w:rPr>
            <w:rFonts w:ascii="Cambria Math" w:hAnsi="Cambria Math" w:cs="Times New Roman"/>
            <w:sz w:val="20"/>
            <w:szCs w:val="20"/>
          </w:rPr>
          <m:t>+c-</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averted</m:t>
            </m:r>
          </m:sub>
        </m:sSub>
      </m:oMath>
      <w:r w:rsidRPr="00020945">
        <w:rPr>
          <w:rFonts w:ascii="Times New Roman" w:hAnsi="Times New Roman" w:cs="Times New Roman"/>
          <w:sz w:val="20"/>
          <w:szCs w:val="20"/>
        </w:rPr>
        <w:t xml:space="preserve">. The Bayesian decision is to stockpile if </w:t>
      </w:r>
      <m:oMath>
        <m:r>
          <w:rPr>
            <w:rFonts w:ascii="Cambria Math" w:hAnsi="Cambria Math" w:cs="Times New Roman"/>
            <w:sz w:val="20"/>
            <w:szCs w:val="20"/>
          </w:rPr>
          <m:t>ρ</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e>
        </m:d>
        <m:r>
          <w:rPr>
            <w:rFonts w:ascii="Cambria Math" w:hAnsi="Cambria Math" w:cs="Times New Roman"/>
            <w:sz w:val="20"/>
            <w:szCs w:val="20"/>
          </w:rPr>
          <m:t>=E</m:t>
        </m:r>
        <m:d>
          <m:dPr>
            <m:ctrlPr>
              <w:rPr>
                <w:rFonts w:ascii="Cambria Math" w:hAnsi="Cambria Math" w:cs="Times New Roman"/>
                <w:i/>
                <w:sz w:val="20"/>
                <w:szCs w:val="20"/>
              </w:rPr>
            </m:ctrlPr>
          </m:dPr>
          <m:e>
            <m:r>
              <w:rPr>
                <w:rFonts w:ascii="Cambria Math" w:hAnsi="Cambria Math" w:cs="Times New Roman"/>
                <w:sz w:val="20"/>
                <w:szCs w:val="20"/>
              </w:rPr>
              <m:t>L</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r>
                  <w:rPr>
                    <w:rFonts w:ascii="Cambria Math" w:hAnsi="Cambria Math" w:cs="Times New Roman"/>
                    <w:sz w:val="20"/>
                    <w:szCs w:val="20"/>
                  </w:rPr>
                  <m:t>,π</m:t>
                </m:r>
              </m:e>
            </m:d>
          </m:e>
        </m:d>
        <m:r>
          <w:rPr>
            <w:rFonts w:ascii="Cambria Math" w:hAnsi="Cambria Math" w:cs="Times New Roman"/>
            <w:sz w:val="20"/>
            <w:szCs w:val="20"/>
          </w:rPr>
          <m:t>&lt;ρ</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e>
        </m:d>
        <m:r>
          <w:rPr>
            <w:rFonts w:ascii="Cambria Math" w:hAnsi="Cambria Math" w:cs="Times New Roman"/>
            <w:sz w:val="20"/>
            <w:szCs w:val="20"/>
          </w:rPr>
          <m:t>=E</m:t>
        </m:r>
        <m:d>
          <m:dPr>
            <m:ctrlPr>
              <w:rPr>
                <w:rFonts w:ascii="Cambria Math" w:hAnsi="Cambria Math" w:cs="Times New Roman"/>
                <w:i/>
                <w:sz w:val="20"/>
                <w:szCs w:val="20"/>
              </w:rPr>
            </m:ctrlPr>
          </m:dPr>
          <m:e>
            <m:r>
              <w:rPr>
                <w:rFonts w:ascii="Cambria Math" w:hAnsi="Cambria Math" w:cs="Times New Roman"/>
                <w:sz w:val="20"/>
                <w:szCs w:val="20"/>
              </w:rPr>
              <m:t>L</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r>
                  <w:rPr>
                    <w:rFonts w:ascii="Cambria Math" w:hAnsi="Cambria Math" w:cs="Times New Roman"/>
                    <w:sz w:val="20"/>
                    <w:szCs w:val="20"/>
                  </w:rPr>
                  <m:t>,π</m:t>
                </m:r>
              </m:e>
            </m:d>
          </m:e>
        </m:d>
      </m:oMath>
      <w:r w:rsidRPr="00020945">
        <w:rPr>
          <w:rFonts w:ascii="Times New Roman" w:hAnsi="Times New Roman" w:cs="Times New Roman"/>
          <w:sz w:val="20"/>
          <w:szCs w:val="20"/>
        </w:rPr>
        <w:t xml:space="preserve"> which is equivalent to the decision rule to stockpile if </w:t>
      </w:r>
      <m:oMath>
        <m:r>
          <w:rPr>
            <w:rFonts w:ascii="Cambria Math" w:hAnsi="Cambria Math" w:cs="Times New Roman"/>
            <w:sz w:val="20"/>
            <w:szCs w:val="20"/>
          </w:rPr>
          <m:t>E</m:t>
        </m:r>
        <m:d>
          <m:dPr>
            <m:ctrlPr>
              <w:rPr>
                <w:rFonts w:ascii="Cambria Math" w:hAnsi="Cambria Math" w:cs="Times New Roman"/>
                <w:i/>
                <w:sz w:val="20"/>
                <w:szCs w:val="20"/>
              </w:rPr>
            </m:ctrlPr>
          </m:dPr>
          <m:e>
            <m:r>
              <w:rPr>
                <w:rFonts w:ascii="Cambria Math" w:hAnsi="Cambria Math" w:cs="Times New Roman"/>
                <w:sz w:val="20"/>
                <w:szCs w:val="20"/>
              </w:rPr>
              <m:t>c-</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averted</m:t>
                </m:r>
              </m:sub>
            </m:sSub>
          </m:e>
        </m:d>
        <m:r>
          <w:rPr>
            <w:rFonts w:ascii="Cambria Math" w:hAnsi="Cambria Math" w:cs="Times New Roman"/>
            <w:sz w:val="20"/>
            <w:szCs w:val="20"/>
          </w:rPr>
          <m:t>&lt;0</m:t>
        </m:r>
      </m:oMath>
      <w:r w:rsidRPr="00020945">
        <w:rPr>
          <w:rFonts w:ascii="Times New Roman" w:hAnsi="Times New Roman" w:cs="Times New Roman"/>
          <w:sz w:val="20"/>
          <w:szCs w:val="20"/>
        </w:rPr>
        <w:t xml:space="preserve">. Or, equivalently, the decision is to stockpile if the expected net benefits </w:t>
      </w:r>
      <m:oMath>
        <m:r>
          <w:rPr>
            <w:rFonts w:ascii="Cambria Math" w:hAnsi="Cambria Math" w:cs="Times New Roman"/>
            <w:sz w:val="20"/>
            <w:szCs w:val="20"/>
          </w:rPr>
          <m:t>E</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averted</m:t>
                </m:r>
              </m:sub>
            </m:sSub>
            <m:r>
              <w:rPr>
                <w:rFonts w:ascii="Cambria Math" w:hAnsi="Cambria Math" w:cs="Times New Roman"/>
                <w:sz w:val="20"/>
                <w:szCs w:val="20"/>
              </w:rPr>
              <m:t>-c</m:t>
            </m:r>
          </m:e>
        </m:d>
      </m:oMath>
      <w:r w:rsidRPr="00020945">
        <w:rPr>
          <w:rFonts w:ascii="Times New Roman" w:hAnsi="Times New Roman" w:cs="Times New Roman"/>
          <w:sz w:val="20"/>
          <w:szCs w:val="20"/>
        </w:rPr>
        <w:t xml:space="preserve"> are positive.</w:t>
      </w:r>
    </w:p>
    <w:p w:rsidR="00BC6DDF" w:rsidRPr="00020945" w:rsidRDefault="00BC6DDF" w:rsidP="00020945">
      <w:pPr>
        <w:spacing w:line="240" w:lineRule="auto"/>
        <w:jc w:val="both"/>
        <w:rPr>
          <w:rFonts w:ascii="Times New Roman" w:hAnsi="Times New Roman" w:cs="Times New Roman"/>
          <w:sz w:val="20"/>
          <w:szCs w:val="20"/>
        </w:rPr>
      </w:pPr>
      <w:r w:rsidRPr="00020945">
        <w:rPr>
          <w:rFonts w:ascii="Times New Roman" w:hAnsi="Times New Roman" w:cs="Times New Roman"/>
          <w:sz w:val="20"/>
          <w:szCs w:val="20"/>
        </w:rPr>
        <w:t>We specify</w:t>
      </w:r>
    </w:p>
    <w:p w:rsidR="00BC6DDF" w:rsidRPr="00020945" w:rsidRDefault="007078FA" w:rsidP="00020945">
      <w:pPr>
        <w:spacing w:line="240" w:lineRule="auto"/>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averted</m:t>
              </m:r>
            </m:sub>
          </m:sSub>
          <m:r>
            <w:rPr>
              <w:rFonts w:ascii="Cambria Math" w:hAnsi="Cambria Math" w:cs="Times New Roman"/>
              <w:sz w:val="20"/>
              <w:szCs w:val="20"/>
            </w:rPr>
            <m:t>=λ×Prob×Pop×Treated×CAR×CFR×QALY×Hospital×</m:t>
          </m:r>
          <m:d>
            <m:dPr>
              <m:ctrlPr>
                <w:rPr>
                  <w:rFonts w:ascii="Cambria Math" w:hAnsi="Cambria Math" w:cs="Times New Roman"/>
                  <w:sz w:val="20"/>
                  <w:szCs w:val="20"/>
                </w:rPr>
              </m:ctrlPr>
            </m:dPr>
            <m:e>
              <m:r>
                <w:rPr>
                  <w:rFonts w:ascii="Cambria Math" w:hAnsi="Cambria Math" w:cs="Times New Roman"/>
                  <w:sz w:val="20"/>
                  <w:szCs w:val="20"/>
                </w:rPr>
                <m:t>1-θ</m:t>
              </m:r>
            </m:e>
          </m:d>
        </m:oMath>
      </m:oMathPara>
    </w:p>
    <w:p w:rsidR="00BC6DDF" w:rsidRPr="00020945" w:rsidRDefault="00BC6DDF" w:rsidP="00020945">
      <w:pPr>
        <w:spacing w:line="240" w:lineRule="auto"/>
        <w:jc w:val="both"/>
        <w:rPr>
          <w:rFonts w:ascii="Times New Roman" w:hAnsi="Times New Roman" w:cs="Times New Roman"/>
          <w:sz w:val="20"/>
          <w:szCs w:val="20"/>
        </w:rPr>
      </w:pPr>
      <w:r w:rsidRPr="00020945">
        <w:rPr>
          <w:rFonts w:ascii="Times New Roman" w:hAnsi="Times New Roman" w:cs="Times New Roman"/>
          <w:sz w:val="20"/>
          <w:szCs w:val="20"/>
        </w:rPr>
        <w:t xml:space="preserve">where </w:t>
      </w:r>
      <m:oMath>
        <m:r>
          <w:rPr>
            <w:rFonts w:ascii="Cambria Math" w:hAnsi="Cambria Math" w:cs="Times New Roman"/>
            <w:sz w:val="20"/>
            <w:szCs w:val="20"/>
          </w:rPr>
          <m:t>c</m:t>
        </m:r>
      </m:oMath>
      <w:r w:rsidRPr="00020945">
        <w:rPr>
          <w:rFonts w:ascii="Times New Roman" w:hAnsi="Times New Roman" w:cs="Times New Roman"/>
          <w:sz w:val="20"/>
          <w:szCs w:val="20"/>
        </w:rPr>
        <w:t xml:space="preserve"> is the costs of stockpiling, </w:t>
      </w:r>
      <m:oMath>
        <m:r>
          <w:rPr>
            <w:rFonts w:ascii="Cambria Math" w:hAnsi="Cambria Math" w:cs="Times New Roman"/>
            <w:sz w:val="20"/>
            <w:szCs w:val="20"/>
          </w:rPr>
          <m:t>λ</m:t>
        </m:r>
      </m:oMath>
      <w:r w:rsidRPr="00020945">
        <w:rPr>
          <w:rFonts w:ascii="Times New Roman" w:hAnsi="Times New Roman" w:cs="Times New Roman"/>
          <w:sz w:val="20"/>
          <w:szCs w:val="20"/>
        </w:rPr>
        <w:t xml:space="preserve"> is the social willingness to pay for a quality adjusted life year (QALY), and </w:t>
      </w:r>
      <m:oMath>
        <m:r>
          <w:rPr>
            <w:rFonts w:ascii="Cambria Math" w:hAnsi="Cambria Math" w:cs="Times New Roman"/>
            <w:sz w:val="20"/>
            <w:szCs w:val="20"/>
          </w:rPr>
          <m:t>Treated</m:t>
        </m:r>
      </m:oMath>
      <w:r w:rsidRPr="00020945">
        <w:rPr>
          <w:rFonts w:ascii="Times New Roman" w:hAnsi="Times New Roman" w:cs="Times New Roman"/>
          <w:sz w:val="20"/>
          <w:szCs w:val="20"/>
        </w:rPr>
        <w:t xml:space="preserve"> is the proportion of symptomatic cases that receive NAIs.  </w:t>
      </w:r>
    </w:p>
    <w:p w:rsidR="00BC6DDF" w:rsidRPr="00020945" w:rsidRDefault="00BC6DDF" w:rsidP="00020945">
      <w:pPr>
        <w:spacing w:line="240" w:lineRule="auto"/>
        <w:rPr>
          <w:rFonts w:ascii="Times New Roman" w:hAnsi="Times New Roman" w:cs="Times New Roman"/>
          <w:sz w:val="20"/>
          <w:szCs w:val="20"/>
        </w:rPr>
      </w:pPr>
      <w:r w:rsidRPr="00020945">
        <w:rPr>
          <w:rFonts w:ascii="Times New Roman" w:hAnsi="Times New Roman" w:cs="Times New Roman"/>
          <w:sz w:val="20"/>
          <w:szCs w:val="20"/>
        </w:rPr>
        <w:t xml:space="preserve">The expected net benefits are </w:t>
      </w:r>
    </w:p>
    <w:p w:rsidR="00BC6DDF" w:rsidRPr="00020945" w:rsidRDefault="00BC6DDF" w:rsidP="00020945">
      <w:pPr>
        <w:spacing w:line="240" w:lineRule="auto"/>
        <w:rPr>
          <w:rFonts w:ascii="Times New Roman" w:hAnsi="Times New Roman" w:cs="Times New Roman"/>
          <w:sz w:val="20"/>
          <w:szCs w:val="20"/>
        </w:rPr>
      </w:pPr>
      <m:oMathPara>
        <m:oMath>
          <m:r>
            <w:rPr>
              <w:rFonts w:ascii="Cambria Math" w:hAnsi="Cambria Math" w:cs="Times New Roman"/>
              <w:sz w:val="20"/>
              <w:szCs w:val="20"/>
            </w:rPr>
            <m:t>E</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averted</m:t>
                  </m:r>
                </m:sub>
              </m:sSub>
              <m:r>
                <w:rPr>
                  <w:rFonts w:ascii="Cambria Math" w:hAnsi="Cambria Math" w:cs="Times New Roman"/>
                  <w:sz w:val="20"/>
                  <w:szCs w:val="20"/>
                </w:rPr>
                <m:t>-c</m:t>
              </m:r>
            </m:e>
          </m:d>
          <m:r>
            <w:rPr>
              <w:rFonts w:ascii="Cambria Math" w:hAnsi="Cambria Math" w:cs="Times New Roman"/>
              <w:sz w:val="20"/>
              <w:szCs w:val="20"/>
            </w:rPr>
            <m:t>=λ×Pop×Treated×Hospital×E</m:t>
          </m:r>
          <m:d>
            <m:dPr>
              <m:ctrlPr>
                <w:rPr>
                  <w:rFonts w:ascii="Cambria Math" w:hAnsi="Cambria Math" w:cs="Times New Roman"/>
                  <w:sz w:val="20"/>
                  <w:szCs w:val="20"/>
                </w:rPr>
              </m:ctrlPr>
            </m:dPr>
            <m:e>
              <m:r>
                <w:rPr>
                  <w:rFonts w:ascii="Cambria Math" w:hAnsi="Cambria Math" w:cs="Times New Roman"/>
                  <w:sz w:val="20"/>
                  <w:szCs w:val="20"/>
                </w:rPr>
                <m:t>QALY</m:t>
              </m:r>
            </m:e>
          </m:d>
          <m:r>
            <w:rPr>
              <w:rFonts w:ascii="Cambria Math" w:hAnsi="Cambria Math" w:cs="Times New Roman"/>
              <w:sz w:val="20"/>
              <w:szCs w:val="20"/>
            </w:rPr>
            <m:t>×E</m:t>
          </m:r>
          <m:d>
            <m:dPr>
              <m:ctrlPr>
                <w:rPr>
                  <w:rFonts w:ascii="Cambria Math" w:hAnsi="Cambria Math" w:cs="Times New Roman"/>
                  <w:sz w:val="20"/>
                  <w:szCs w:val="20"/>
                </w:rPr>
              </m:ctrlPr>
            </m:dPr>
            <m:e>
              <m:r>
                <w:rPr>
                  <w:rFonts w:ascii="Cambria Math" w:hAnsi="Cambria Math" w:cs="Times New Roman"/>
                  <w:sz w:val="20"/>
                  <w:szCs w:val="20"/>
                </w:rPr>
                <m:t>Prob</m:t>
              </m:r>
            </m:e>
          </m:d>
          <m:r>
            <w:rPr>
              <w:rFonts w:ascii="Cambria Math" w:hAnsi="Cambria Math" w:cs="Times New Roman"/>
              <w:sz w:val="20"/>
              <w:szCs w:val="20"/>
            </w:rPr>
            <m:t>×E</m:t>
          </m:r>
          <m:d>
            <m:dPr>
              <m:ctrlPr>
                <w:rPr>
                  <w:rFonts w:ascii="Cambria Math" w:hAnsi="Cambria Math" w:cs="Times New Roman"/>
                  <w:sz w:val="20"/>
                  <w:szCs w:val="20"/>
                </w:rPr>
              </m:ctrlPr>
            </m:dPr>
            <m:e>
              <m:r>
                <w:rPr>
                  <w:rFonts w:ascii="Cambria Math" w:hAnsi="Cambria Math" w:cs="Times New Roman"/>
                  <w:sz w:val="20"/>
                  <w:szCs w:val="20"/>
                </w:rPr>
                <m:t>CAR×CFR</m:t>
              </m:r>
            </m:e>
          </m:d>
          <m:r>
            <w:rPr>
              <w:rFonts w:ascii="Cambria Math" w:hAnsi="Cambria Math" w:cs="Times New Roman"/>
              <w:sz w:val="20"/>
              <w:szCs w:val="20"/>
            </w:rPr>
            <m:t>×</m:t>
          </m:r>
          <m:d>
            <m:dPr>
              <m:ctrlPr>
                <w:rPr>
                  <w:rFonts w:ascii="Cambria Math" w:hAnsi="Cambria Math" w:cs="Times New Roman"/>
                  <w:sz w:val="20"/>
                  <w:szCs w:val="20"/>
                </w:rPr>
              </m:ctrlPr>
            </m:dPr>
            <m:e>
              <m:r>
                <w:rPr>
                  <w:rFonts w:ascii="Cambria Math" w:hAnsi="Cambria Math" w:cs="Times New Roman"/>
                  <w:sz w:val="20"/>
                  <w:szCs w:val="20"/>
                </w:rPr>
                <m:t>1-E</m:t>
              </m:r>
              <m:d>
                <m:dPr>
                  <m:ctrlPr>
                    <w:rPr>
                      <w:rFonts w:ascii="Cambria Math" w:hAnsi="Cambria Math" w:cs="Times New Roman"/>
                      <w:sz w:val="20"/>
                      <w:szCs w:val="20"/>
                    </w:rPr>
                  </m:ctrlPr>
                </m:dPr>
                <m:e>
                  <m:r>
                    <w:rPr>
                      <w:rFonts w:ascii="Cambria Math" w:hAnsi="Cambria Math" w:cs="Times New Roman"/>
                      <w:sz w:val="20"/>
                      <w:szCs w:val="20"/>
                    </w:rPr>
                    <m:t>θ</m:t>
                  </m:r>
                </m:e>
              </m:d>
            </m:e>
          </m:d>
          <m:r>
            <w:rPr>
              <w:rFonts w:ascii="Cambria Math" w:hAnsi="Cambria Math" w:cs="Times New Roman"/>
              <w:sz w:val="20"/>
              <w:szCs w:val="20"/>
            </w:rPr>
            <m:t>-c</m:t>
          </m:r>
        </m:oMath>
      </m:oMathPara>
    </w:p>
    <w:p w:rsidR="00BC6DDF" w:rsidRPr="00020945" w:rsidRDefault="00BC6DDF" w:rsidP="00020945">
      <w:pPr>
        <w:spacing w:line="240" w:lineRule="auto"/>
        <w:jc w:val="both"/>
        <w:rPr>
          <w:rFonts w:ascii="Times New Roman" w:hAnsi="Times New Roman" w:cs="Times New Roman"/>
          <w:sz w:val="20"/>
          <w:szCs w:val="20"/>
        </w:rPr>
      </w:pPr>
      <w:r w:rsidRPr="00020945">
        <w:rPr>
          <w:rFonts w:ascii="Times New Roman" w:hAnsi="Times New Roman" w:cs="Times New Roman"/>
          <w:sz w:val="20"/>
          <w:szCs w:val="20"/>
        </w:rPr>
        <w:t xml:space="preserve">where the expectations are taken with respect to the posterior distributions of each variable, and where we have assumed that </w:t>
      </w:r>
      <m:oMath>
        <m:r>
          <w:rPr>
            <w:rFonts w:ascii="Cambria Math" w:hAnsi="Cambria Math" w:cs="Times New Roman"/>
            <w:sz w:val="20"/>
            <w:szCs w:val="20"/>
          </w:rPr>
          <m:t>c</m:t>
        </m:r>
      </m:oMath>
      <w:r w:rsidRPr="00020945">
        <w:rPr>
          <w:rFonts w:ascii="Times New Roman" w:hAnsi="Times New Roman" w:cs="Times New Roman"/>
          <w:sz w:val="20"/>
          <w:szCs w:val="20"/>
        </w:rPr>
        <w:t xml:space="preserve">, </w:t>
      </w:r>
      <m:oMath>
        <m:r>
          <w:rPr>
            <w:rFonts w:ascii="Cambria Math" w:hAnsi="Cambria Math" w:cs="Times New Roman"/>
            <w:sz w:val="20"/>
            <w:szCs w:val="20"/>
          </w:rPr>
          <m:t>λ</m:t>
        </m:r>
      </m:oMath>
      <w:r w:rsidRPr="00020945">
        <w:rPr>
          <w:rFonts w:ascii="Times New Roman" w:hAnsi="Times New Roman" w:cs="Times New Roman"/>
          <w:sz w:val="20"/>
          <w:szCs w:val="20"/>
        </w:rPr>
        <w:t xml:space="preserve">, </w:t>
      </w:r>
      <m:oMath>
        <m:r>
          <w:rPr>
            <w:rFonts w:ascii="Cambria Math" w:hAnsi="Cambria Math" w:cs="Times New Roman"/>
            <w:sz w:val="20"/>
            <w:szCs w:val="20"/>
          </w:rPr>
          <m:t>Pop</m:t>
        </m:r>
      </m:oMath>
      <w:r w:rsidRPr="00020945">
        <w:rPr>
          <w:rFonts w:ascii="Times New Roman" w:hAnsi="Times New Roman" w:cs="Times New Roman"/>
          <w:sz w:val="20"/>
          <w:szCs w:val="20"/>
        </w:rPr>
        <w:t xml:space="preserve">, </w:t>
      </w:r>
      <m:oMath>
        <m:r>
          <w:rPr>
            <w:rFonts w:ascii="Cambria Math" w:hAnsi="Cambria Math" w:cs="Times New Roman"/>
            <w:sz w:val="20"/>
            <w:szCs w:val="20"/>
          </w:rPr>
          <m:t>Treated</m:t>
        </m:r>
      </m:oMath>
      <w:r w:rsidRPr="00020945">
        <w:rPr>
          <w:rFonts w:ascii="Times New Roman" w:hAnsi="Times New Roman" w:cs="Times New Roman"/>
          <w:sz w:val="20"/>
          <w:szCs w:val="20"/>
        </w:rPr>
        <w:t xml:space="preserve">, and </w:t>
      </w:r>
      <m:oMath>
        <m:r>
          <w:rPr>
            <w:rFonts w:ascii="Cambria Math" w:hAnsi="Cambria Math" w:cs="Times New Roman"/>
            <w:sz w:val="20"/>
            <w:szCs w:val="20"/>
          </w:rPr>
          <m:t>Hospital</m:t>
        </m:r>
      </m:oMath>
      <w:r w:rsidRPr="00020945">
        <w:rPr>
          <w:rFonts w:ascii="Times New Roman" w:hAnsi="Times New Roman" w:cs="Times New Roman"/>
          <w:sz w:val="20"/>
          <w:szCs w:val="20"/>
        </w:rPr>
        <w:t xml:space="preserve"> are known constants and that </w:t>
      </w:r>
      <m:oMath>
        <m:d>
          <m:dPr>
            <m:ctrlPr>
              <w:rPr>
                <w:rFonts w:ascii="Cambria Math" w:hAnsi="Cambria Math" w:cs="Times New Roman"/>
                <w:sz w:val="20"/>
                <w:szCs w:val="20"/>
              </w:rPr>
            </m:ctrlPr>
          </m:dPr>
          <m:e>
            <m:r>
              <w:rPr>
                <w:rFonts w:ascii="Cambria Math" w:hAnsi="Cambria Math" w:cs="Times New Roman"/>
                <w:sz w:val="20"/>
                <w:szCs w:val="20"/>
              </w:rPr>
              <m:t>CAR×CFR</m:t>
            </m:r>
          </m:e>
        </m:d>
      </m:oMath>
      <w:r w:rsidRPr="00020945">
        <w:rPr>
          <w:rFonts w:ascii="Times New Roman" w:hAnsi="Times New Roman" w:cs="Times New Roman"/>
          <w:sz w:val="20"/>
          <w:szCs w:val="20"/>
        </w:rPr>
        <w:t xml:space="preserve"> and </w:t>
      </w:r>
      <m:oMath>
        <m:r>
          <w:rPr>
            <w:rFonts w:ascii="Cambria Math" w:hAnsi="Cambria Math" w:cs="Times New Roman"/>
            <w:sz w:val="20"/>
            <w:szCs w:val="20"/>
          </w:rPr>
          <m:t>θ</m:t>
        </m:r>
      </m:oMath>
      <w:r w:rsidRPr="00020945">
        <w:rPr>
          <w:rFonts w:ascii="Times New Roman" w:hAnsi="Times New Roman" w:cs="Times New Roman"/>
          <w:sz w:val="20"/>
          <w:szCs w:val="20"/>
        </w:rPr>
        <w:t xml:space="preserve"> are independent. This specification can be seen as analogous to an evaluation of the cost-effectiveness of NAIs where it is stockpiled if its cost-effectiveness is less than </w:t>
      </w:r>
      <m:oMath>
        <m:r>
          <w:rPr>
            <w:rFonts w:ascii="Cambria Math" w:hAnsi="Cambria Math" w:cs="Times New Roman"/>
            <w:sz w:val="20"/>
            <w:szCs w:val="20"/>
          </w:rPr>
          <m:t>λ</m:t>
        </m:r>
      </m:oMath>
      <w:r w:rsidRPr="00020945">
        <w:rPr>
          <w:rFonts w:ascii="Times New Roman" w:hAnsi="Times New Roman" w:cs="Times New Roman"/>
          <w:sz w:val="20"/>
          <w:szCs w:val="20"/>
        </w:rPr>
        <w:t xml:space="preserve">. </w:t>
      </w:r>
    </w:p>
    <w:p w:rsidR="00BC6DDF" w:rsidRPr="00020945" w:rsidRDefault="00BC6DDF" w:rsidP="00020945">
      <w:pPr>
        <w:spacing w:line="240" w:lineRule="auto"/>
        <w:rPr>
          <w:rFonts w:ascii="Times New Roman" w:hAnsi="Times New Roman" w:cs="Times New Roman"/>
          <w:b/>
          <w:sz w:val="20"/>
          <w:szCs w:val="20"/>
        </w:rPr>
      </w:pPr>
      <w:r w:rsidRPr="00020945">
        <w:rPr>
          <w:rFonts w:ascii="Times New Roman" w:hAnsi="Times New Roman" w:cs="Times New Roman"/>
          <w:b/>
          <w:sz w:val="20"/>
          <w:szCs w:val="20"/>
        </w:rPr>
        <w:t xml:space="preserve">Parameters </w:t>
      </w:r>
    </w:p>
    <w:p w:rsidR="00BC6DDF" w:rsidRPr="00020945" w:rsidRDefault="00BC6DDF" w:rsidP="00020945">
      <w:pPr>
        <w:spacing w:line="240" w:lineRule="auto"/>
        <w:rPr>
          <w:rFonts w:ascii="Times New Roman" w:hAnsi="Times New Roman" w:cs="Times New Roman"/>
          <w:b/>
          <w:i/>
          <w:sz w:val="20"/>
          <w:szCs w:val="20"/>
        </w:rPr>
      </w:pPr>
      <w:r w:rsidRPr="00020945">
        <w:rPr>
          <w:rFonts w:ascii="Times New Roman" w:hAnsi="Times New Roman" w:cs="Times New Roman"/>
          <w:b/>
          <w:i/>
          <w:sz w:val="20"/>
          <w:szCs w:val="20"/>
        </w:rPr>
        <w:t>Number of Pandemics</w:t>
      </w:r>
    </w:p>
    <w:p w:rsidR="00BC6DDF" w:rsidRPr="00020945" w:rsidRDefault="00BC6DDF" w:rsidP="00020945">
      <w:pPr>
        <w:spacing w:line="240" w:lineRule="auto"/>
        <w:jc w:val="both"/>
        <w:rPr>
          <w:rFonts w:ascii="Times New Roman" w:hAnsi="Times New Roman" w:cs="Times New Roman"/>
          <w:sz w:val="20"/>
          <w:szCs w:val="20"/>
        </w:rPr>
      </w:pPr>
      <w:r w:rsidRPr="00020945">
        <w:rPr>
          <w:rFonts w:ascii="Times New Roman" w:hAnsi="Times New Roman" w:cs="Times New Roman"/>
          <w:sz w:val="20"/>
          <w:szCs w:val="20"/>
        </w:rPr>
        <w:t xml:space="preserve">The occurrence of a pandemic in the shelf life of NAIs is modelled as a Bernouilli distribution with probability </w:t>
      </w:r>
      <m:oMath>
        <m:r>
          <w:rPr>
            <w:rFonts w:ascii="Cambria Math" w:hAnsi="Cambria Math" w:cs="Times New Roman"/>
            <w:sz w:val="20"/>
            <w:szCs w:val="20"/>
          </w:rPr>
          <m:t>p</m:t>
        </m:r>
      </m:oMath>
      <w:r w:rsidRPr="00020945">
        <w:rPr>
          <w:rFonts w:ascii="Times New Roman" w:hAnsi="Times New Roman" w:cs="Times New Roman"/>
          <w:sz w:val="20"/>
          <w:szCs w:val="20"/>
        </w:rPr>
        <w:t xml:space="preserve">. The time period considered is ten years, the shelf life of NAIs. A uniform (0,1) distribution for </w:t>
      </w:r>
      <m:oMath>
        <m:r>
          <w:rPr>
            <w:rFonts w:ascii="Cambria Math" w:hAnsi="Cambria Math" w:cs="Times New Roman"/>
            <w:sz w:val="20"/>
            <w:szCs w:val="20"/>
          </w:rPr>
          <m:t>p</m:t>
        </m:r>
      </m:oMath>
      <w:r w:rsidRPr="00020945">
        <w:rPr>
          <w:rFonts w:ascii="Times New Roman" w:hAnsi="Times New Roman" w:cs="Times New Roman"/>
          <w:sz w:val="20"/>
          <w:szCs w:val="20"/>
        </w:rPr>
        <w:t xml:space="preserve"> was specified. For the data, each decade between 1900 and 2010 was considered an observation equal to one if a pandemic occurred and zero otherwise. We specified the following model for each decade </w:t>
      </w:r>
      <m:oMath>
        <m:r>
          <w:rPr>
            <w:rFonts w:ascii="Cambria Math" w:hAnsi="Cambria Math" w:cs="Times New Roman"/>
            <w:sz w:val="20"/>
            <w:szCs w:val="20"/>
          </w:rPr>
          <m:t>t=1,…,11</m:t>
        </m:r>
      </m:oMath>
      <w:r w:rsidRPr="00020945">
        <w:rPr>
          <w:rFonts w:ascii="Times New Roman" w:hAnsi="Times New Roman" w:cs="Times New Roman"/>
          <w:sz w:val="20"/>
          <w:szCs w:val="20"/>
        </w:rPr>
        <w:t>:</w:t>
      </w:r>
    </w:p>
    <w:p w:rsidR="00BC6DDF" w:rsidRPr="00020945" w:rsidRDefault="007078FA" w:rsidP="00020945">
      <w:pPr>
        <w:spacing w:line="240" w:lineRule="auto"/>
        <w:jc w:val="both"/>
        <w:rPr>
          <w:rFonts w:ascii="Times New Roman" w:hAnsi="Times New Roman" w:cs="Times New Roman"/>
          <w:sz w:val="20"/>
          <w:szCs w:val="20"/>
        </w:rPr>
      </w:pPr>
      <m:oMathPara>
        <m:oMath>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t</m:t>
              </m:r>
            </m:sub>
          </m:sSub>
          <m:r>
            <w:rPr>
              <w:rFonts w:ascii="Cambria Math" w:hAnsi="Cambria Math" w:cs="Times New Roman"/>
              <w:sz w:val="20"/>
              <w:szCs w:val="20"/>
            </w:rPr>
            <m:t>~Bern</m:t>
          </m:r>
          <m:d>
            <m:dPr>
              <m:ctrlPr>
                <w:rPr>
                  <w:rFonts w:ascii="Cambria Math" w:hAnsi="Cambria Math" w:cs="Times New Roman"/>
                  <w:sz w:val="20"/>
                  <w:szCs w:val="20"/>
                </w:rPr>
              </m:ctrlPr>
            </m:dPr>
            <m:e>
              <m:r>
                <w:rPr>
                  <w:rFonts w:ascii="Cambria Math" w:hAnsi="Cambria Math" w:cs="Times New Roman"/>
                  <w:sz w:val="20"/>
                  <w:szCs w:val="20"/>
                </w:rPr>
                <m:t>p</m:t>
              </m:r>
            </m:e>
          </m:d>
        </m:oMath>
      </m:oMathPara>
    </w:p>
    <w:p w:rsidR="00BC6DDF" w:rsidRPr="00020945" w:rsidRDefault="00BC6DDF" w:rsidP="00020945">
      <w:pPr>
        <w:spacing w:line="240" w:lineRule="auto"/>
        <w:jc w:val="both"/>
        <w:rPr>
          <w:rFonts w:ascii="Times New Roman" w:hAnsi="Times New Roman" w:cs="Times New Roman"/>
          <w:sz w:val="20"/>
          <w:szCs w:val="20"/>
        </w:rPr>
      </w:pPr>
      <m:oMathPara>
        <m:oMath>
          <m:r>
            <w:rPr>
              <w:rFonts w:ascii="Cambria Math" w:hAnsi="Cambria Math" w:cs="Times New Roman"/>
              <w:sz w:val="20"/>
              <w:szCs w:val="20"/>
            </w:rPr>
            <m:t>p~Unif</m:t>
          </m:r>
          <m:d>
            <m:dPr>
              <m:ctrlPr>
                <w:rPr>
                  <w:rFonts w:ascii="Cambria Math" w:hAnsi="Cambria Math" w:cs="Times New Roman"/>
                  <w:sz w:val="20"/>
                  <w:szCs w:val="20"/>
                </w:rPr>
              </m:ctrlPr>
            </m:dPr>
            <m:e>
              <m:r>
                <w:rPr>
                  <w:rFonts w:ascii="Cambria Math" w:hAnsi="Cambria Math" w:cs="Times New Roman"/>
                  <w:sz w:val="20"/>
                  <w:szCs w:val="20"/>
                </w:rPr>
                <m:t>0,1</m:t>
              </m:r>
            </m:e>
          </m:d>
        </m:oMath>
      </m:oMathPara>
    </w:p>
    <w:p w:rsidR="00BC6DDF" w:rsidRPr="00020945" w:rsidRDefault="00BC6DDF" w:rsidP="00020945">
      <w:pPr>
        <w:spacing w:line="240" w:lineRule="auto"/>
        <w:rPr>
          <w:rFonts w:ascii="Times New Roman" w:hAnsi="Times New Roman" w:cs="Times New Roman"/>
          <w:b/>
          <w:i/>
          <w:sz w:val="20"/>
          <w:szCs w:val="20"/>
        </w:rPr>
      </w:pPr>
      <w:r w:rsidRPr="00020945">
        <w:rPr>
          <w:rFonts w:ascii="Times New Roman" w:hAnsi="Times New Roman" w:cs="Times New Roman"/>
          <w:b/>
          <w:i/>
          <w:sz w:val="20"/>
          <w:szCs w:val="20"/>
        </w:rPr>
        <w:t>Clinical Attack Rate and Case Fatality Ratio</w:t>
      </w:r>
    </w:p>
    <w:p w:rsidR="00BC6DDF" w:rsidRPr="00020945" w:rsidRDefault="00BC6DDF" w:rsidP="00020945">
      <w:pPr>
        <w:spacing w:line="240" w:lineRule="auto"/>
        <w:jc w:val="both"/>
        <w:rPr>
          <w:rFonts w:ascii="Times New Roman" w:hAnsi="Times New Roman" w:cs="Times New Roman"/>
          <w:sz w:val="20"/>
          <w:szCs w:val="20"/>
        </w:rPr>
      </w:pPr>
      <w:r w:rsidRPr="00020945">
        <w:rPr>
          <w:rFonts w:ascii="Times New Roman" w:hAnsi="Times New Roman" w:cs="Times New Roman"/>
          <w:sz w:val="20"/>
          <w:szCs w:val="20"/>
        </w:rPr>
        <w:t xml:space="preserve">The clinical attach rate and case fatality ratios were assumed to be observations from Beta distributions with parameters </w:t>
      </w:r>
      <m:oMath>
        <m:sSub>
          <m:sSubPr>
            <m:ctrlPr>
              <w:rPr>
                <w:rFonts w:ascii="Cambria Math" w:hAnsi="Cambria Math" w:cs="Times New Roman"/>
                <w:sz w:val="20"/>
                <w:szCs w:val="20"/>
              </w:rPr>
            </m:ctrlPr>
          </m:sSubPr>
          <m:e>
            <m:r>
              <w:rPr>
                <w:rFonts w:ascii="Cambria Math" w:hAnsi="Cambria Math" w:cs="Times New Roman"/>
                <w:sz w:val="20"/>
                <w:szCs w:val="20"/>
              </w:rPr>
              <m:t>α</m:t>
            </m:r>
          </m:e>
          <m:sub>
            <m:r>
              <w:rPr>
                <w:rFonts w:ascii="Cambria Math" w:hAnsi="Cambria Math" w:cs="Times New Roman"/>
                <w:sz w:val="20"/>
                <w:szCs w:val="20"/>
              </w:rPr>
              <m:t>CAR</m:t>
            </m:r>
          </m:sub>
        </m:sSub>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β</m:t>
            </m:r>
          </m:e>
          <m:sub>
            <m:r>
              <w:rPr>
                <w:rFonts w:ascii="Cambria Math" w:hAnsi="Cambria Math" w:cs="Times New Roman"/>
                <w:sz w:val="20"/>
                <w:szCs w:val="20"/>
              </w:rPr>
              <m:t>CAR</m:t>
            </m:r>
          </m:sub>
        </m:sSub>
      </m:oMath>
      <w:r w:rsidRPr="00020945">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w:rPr>
                <w:rFonts w:ascii="Cambria Math" w:hAnsi="Cambria Math" w:cs="Times New Roman"/>
                <w:sz w:val="20"/>
                <w:szCs w:val="20"/>
              </w:rPr>
              <m:t>α</m:t>
            </m:r>
          </m:e>
          <m:sub>
            <m:r>
              <w:rPr>
                <w:rFonts w:ascii="Cambria Math" w:hAnsi="Cambria Math" w:cs="Times New Roman"/>
                <w:sz w:val="20"/>
                <w:szCs w:val="20"/>
              </w:rPr>
              <m:t>CFR</m:t>
            </m:r>
          </m:sub>
        </m:sSub>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β</m:t>
            </m:r>
          </m:e>
          <m:sub>
            <m:r>
              <w:rPr>
                <w:rFonts w:ascii="Cambria Math" w:hAnsi="Cambria Math" w:cs="Times New Roman"/>
                <w:sz w:val="20"/>
                <w:szCs w:val="20"/>
              </w:rPr>
              <m:t>CFR</m:t>
            </m:r>
          </m:sub>
        </m:sSub>
      </m:oMath>
      <w:r w:rsidRPr="00020945">
        <w:rPr>
          <w:rFonts w:ascii="Times New Roman" w:hAnsi="Times New Roman" w:cs="Times New Roman"/>
          <w:sz w:val="20"/>
          <w:szCs w:val="20"/>
        </w:rPr>
        <w:t xml:space="preserve">, respectively. Uniform (0, 1000) (hyper)prior distributions were specified for each parameter. These were updated using data from previous pandemics.  </w:t>
      </w:r>
    </w:p>
    <w:p w:rsidR="00BC6DDF" w:rsidRPr="00020945" w:rsidRDefault="00BC6DDF" w:rsidP="00020945">
      <w:pPr>
        <w:spacing w:line="240" w:lineRule="auto"/>
        <w:rPr>
          <w:rFonts w:ascii="Times New Roman" w:hAnsi="Times New Roman" w:cs="Times New Roman"/>
          <w:b/>
          <w:i/>
          <w:sz w:val="20"/>
          <w:szCs w:val="20"/>
        </w:rPr>
      </w:pPr>
      <w:r w:rsidRPr="00020945">
        <w:rPr>
          <w:rFonts w:ascii="Times New Roman" w:hAnsi="Times New Roman" w:cs="Times New Roman"/>
          <w:b/>
          <w:i/>
          <w:sz w:val="20"/>
          <w:szCs w:val="20"/>
        </w:rPr>
        <w:t>QALY Losses Associated with an Influenza Death</w:t>
      </w:r>
    </w:p>
    <w:p w:rsidR="00BC6DDF" w:rsidRPr="00020945" w:rsidRDefault="00BC6DDF" w:rsidP="00020945">
      <w:pPr>
        <w:spacing w:line="240" w:lineRule="auto"/>
        <w:jc w:val="both"/>
        <w:rPr>
          <w:rFonts w:ascii="Times New Roman" w:hAnsi="Times New Roman" w:cs="Times New Roman"/>
          <w:sz w:val="20"/>
          <w:szCs w:val="20"/>
        </w:rPr>
      </w:pPr>
      <w:r w:rsidRPr="00020945">
        <w:rPr>
          <w:rFonts w:ascii="Times New Roman" w:hAnsi="Times New Roman" w:cs="Times New Roman"/>
          <w:sz w:val="20"/>
          <w:szCs w:val="20"/>
        </w:rPr>
        <w:t xml:space="preserve">As above, the mean age of a pandemic influenza associated death was modelled as a Beta distribution, but scaled to the interval [0, 81.5], the upper limit representing the life expectancy at birth in the United Kingdom. Uniform (0, 1000) (hyper)prior distributions were specified for each parameter and updated with data from previous pandemics. </w:t>
      </w:r>
    </w:p>
    <w:p w:rsidR="00BC6DDF" w:rsidRPr="00020945" w:rsidRDefault="00BC6DDF" w:rsidP="00020945">
      <w:pPr>
        <w:spacing w:line="240" w:lineRule="auto"/>
        <w:jc w:val="both"/>
        <w:rPr>
          <w:rFonts w:ascii="Times New Roman" w:hAnsi="Times New Roman" w:cs="Times New Roman"/>
          <w:sz w:val="20"/>
          <w:szCs w:val="20"/>
        </w:rPr>
      </w:pPr>
      <w:r w:rsidRPr="00020945">
        <w:rPr>
          <w:rFonts w:ascii="Times New Roman" w:hAnsi="Times New Roman" w:cs="Times New Roman"/>
          <w:sz w:val="20"/>
          <w:szCs w:val="20"/>
        </w:rPr>
        <w:lastRenderedPageBreak/>
        <w:t>To calculate QALYs lost due a death, the estimated mean age at death was subtracted from 81.5. The net present value (NPV) of the lost years was calculated using a discount rate of 3.5%, and each year weighted by 0.8. Setting the upper limit at 81.5 may represent an underestimate as the life expectancy of a person dying in middle age is greater than 81.5.</w:t>
      </w:r>
    </w:p>
    <w:p w:rsidR="00BC6DDF" w:rsidRPr="00020945" w:rsidRDefault="00BC6DDF" w:rsidP="00020945">
      <w:pPr>
        <w:spacing w:line="240" w:lineRule="auto"/>
        <w:rPr>
          <w:rFonts w:ascii="Times New Roman" w:hAnsi="Times New Roman" w:cs="Times New Roman"/>
          <w:b/>
          <w:i/>
          <w:sz w:val="20"/>
          <w:szCs w:val="20"/>
        </w:rPr>
      </w:pPr>
      <w:r w:rsidRPr="00020945">
        <w:rPr>
          <w:rFonts w:ascii="Times New Roman" w:hAnsi="Times New Roman" w:cs="Times New Roman"/>
          <w:b/>
          <w:i/>
          <w:sz w:val="20"/>
          <w:szCs w:val="20"/>
        </w:rPr>
        <w:t>Effectiveness of Oseltamivir and Bias Correction</w:t>
      </w:r>
    </w:p>
    <w:p w:rsidR="00BC6DDF" w:rsidRPr="00020945" w:rsidRDefault="00BC6DDF" w:rsidP="00020945">
      <w:pPr>
        <w:spacing w:line="240" w:lineRule="auto"/>
        <w:jc w:val="both"/>
        <w:rPr>
          <w:rFonts w:ascii="Times New Roman" w:hAnsi="Times New Roman" w:cs="Times New Roman"/>
          <w:sz w:val="20"/>
          <w:szCs w:val="20"/>
        </w:rPr>
      </w:pPr>
      <w:r w:rsidRPr="00020945">
        <w:rPr>
          <w:rFonts w:ascii="Times New Roman" w:hAnsi="Times New Roman" w:cs="Times New Roman"/>
          <w:sz w:val="20"/>
          <w:szCs w:val="20"/>
        </w:rPr>
        <w:t xml:space="preserve">The estimated effect size from the observational meta-analysis, </w:t>
      </w:r>
      <m:oMath>
        <m:r>
          <w:rPr>
            <w:rFonts w:ascii="Cambria Math" w:hAnsi="Cambria Math" w:cs="Times New Roman"/>
            <w:sz w:val="20"/>
            <w:szCs w:val="20"/>
          </w:rPr>
          <m:t>y</m:t>
        </m:r>
      </m:oMath>
      <w:r w:rsidRPr="00020945">
        <w:rPr>
          <w:rFonts w:ascii="Times New Roman" w:hAnsi="Times New Roman" w:cs="Times New Roman"/>
          <w:sz w:val="20"/>
          <w:szCs w:val="20"/>
        </w:rPr>
        <w:t xml:space="preserve">, is arguably biased with respect to the true effect size, </w:t>
      </w:r>
      <m:oMath>
        <m:r>
          <w:rPr>
            <w:rFonts w:ascii="Cambria Math" w:hAnsi="Cambria Math" w:cs="Times New Roman"/>
            <w:sz w:val="20"/>
            <w:szCs w:val="20"/>
          </w:rPr>
          <m:t>θ</m:t>
        </m:r>
      </m:oMath>
      <w:r w:rsidRPr="00020945">
        <w:rPr>
          <w:rFonts w:ascii="Times New Roman" w:hAnsi="Times New Roman" w:cs="Times New Roman"/>
          <w:sz w:val="20"/>
          <w:szCs w:val="20"/>
        </w:rPr>
        <w:t xml:space="preserve">. We followed the bias modelling method outlined by Turner </w:t>
      </w:r>
      <w:r w:rsidRPr="00020945">
        <w:rPr>
          <w:rFonts w:ascii="Times New Roman" w:hAnsi="Times New Roman" w:cs="Times New Roman"/>
          <w:i/>
          <w:sz w:val="20"/>
          <w:szCs w:val="20"/>
        </w:rPr>
        <w:t>et al</w:t>
      </w:r>
      <w:r w:rsidRPr="00020945">
        <w:rPr>
          <w:rFonts w:ascii="Times New Roman" w:hAnsi="Times New Roman" w:cs="Times New Roman"/>
          <w:sz w:val="20"/>
          <w:szCs w:val="20"/>
        </w:rPr>
        <w:t xml:space="preserve"> to ‘co</w:t>
      </w:r>
      <w:r w:rsidR="00B74A8F">
        <w:rPr>
          <w:rFonts w:ascii="Times New Roman" w:hAnsi="Times New Roman" w:cs="Times New Roman"/>
          <w:sz w:val="20"/>
          <w:szCs w:val="20"/>
        </w:rPr>
        <w:t>rrect’ the estimated effect.</w:t>
      </w:r>
      <w:r w:rsidR="00B74A8F" w:rsidRPr="00B74A8F">
        <w:rPr>
          <w:rFonts w:ascii="Times New Roman" w:hAnsi="Times New Roman" w:cs="Times New Roman"/>
          <w:sz w:val="20"/>
          <w:szCs w:val="20"/>
          <w:vertAlign w:val="superscript"/>
        </w:rPr>
        <w:t>1</w:t>
      </w:r>
      <w:r w:rsidRPr="00020945">
        <w:rPr>
          <w:rFonts w:ascii="Times New Roman" w:hAnsi="Times New Roman" w:cs="Times New Roman"/>
          <w:sz w:val="20"/>
          <w:szCs w:val="20"/>
        </w:rPr>
        <w:t xml:space="preserve"> We allowed for both proportional and additive biases, represented by </w:t>
      </w:r>
      <m:oMath>
        <m:r>
          <w:rPr>
            <w:rFonts w:ascii="Cambria Math" w:hAnsi="Cambria Math" w:cs="Times New Roman"/>
            <w:sz w:val="20"/>
            <w:szCs w:val="20"/>
          </w:rPr>
          <m:t>β</m:t>
        </m:r>
      </m:oMath>
      <w:r w:rsidRPr="00020945">
        <w:rPr>
          <w:rFonts w:ascii="Times New Roman" w:hAnsi="Times New Roman" w:cs="Times New Roman"/>
          <w:sz w:val="20"/>
          <w:szCs w:val="20"/>
        </w:rPr>
        <w:t xml:space="preserve"> and </w:t>
      </w:r>
      <m:oMath>
        <m:r>
          <w:rPr>
            <w:rFonts w:ascii="Cambria Math" w:hAnsi="Cambria Math" w:cs="Times New Roman"/>
            <w:sz w:val="20"/>
            <w:szCs w:val="20"/>
          </w:rPr>
          <m:t>δ</m:t>
        </m:r>
      </m:oMath>
      <w:r w:rsidRPr="00020945">
        <w:rPr>
          <w:rFonts w:ascii="Times New Roman" w:hAnsi="Times New Roman" w:cs="Times New Roman"/>
          <w:sz w:val="20"/>
          <w:szCs w:val="20"/>
        </w:rPr>
        <w:t>, respectively, and assumed the model:</w:t>
      </w:r>
    </w:p>
    <w:p w:rsidR="00BC6DDF" w:rsidRPr="00020945" w:rsidRDefault="00BC6DDF" w:rsidP="00020945">
      <w:pPr>
        <w:spacing w:line="240" w:lineRule="auto"/>
        <w:rPr>
          <w:rFonts w:ascii="Times New Roman" w:hAnsi="Times New Roman" w:cs="Times New Roman"/>
          <w:sz w:val="20"/>
          <w:szCs w:val="20"/>
        </w:rPr>
      </w:pPr>
      <m:oMathPara>
        <m:oMath>
          <m:r>
            <w:rPr>
              <w:rFonts w:ascii="Cambria Math" w:hAnsi="Cambria Math" w:cs="Times New Roman"/>
              <w:sz w:val="20"/>
              <w:szCs w:val="20"/>
            </w:rPr>
            <m:t>y~f</m:t>
          </m:r>
          <m:d>
            <m:dPr>
              <m:ctrlPr>
                <w:rPr>
                  <w:rFonts w:ascii="Cambria Math" w:hAnsi="Cambria Math" w:cs="Times New Roman"/>
                  <w:sz w:val="20"/>
                  <w:szCs w:val="20"/>
                </w:rPr>
              </m:ctrlPr>
            </m:dPr>
            <m:e>
              <m:r>
                <w:rPr>
                  <w:rFonts w:ascii="Cambria Math" w:hAnsi="Cambria Math" w:cs="Times New Roman"/>
                  <w:sz w:val="20"/>
                  <w:szCs w:val="20"/>
                </w:rPr>
                <m:t>βθ+δ,</m:t>
              </m:r>
              <m:sSup>
                <m:sSupPr>
                  <m:ctrlPr>
                    <w:rPr>
                      <w:rFonts w:ascii="Cambria Math" w:hAnsi="Cambria Math" w:cs="Times New Roman"/>
                      <w:sz w:val="20"/>
                      <w:szCs w:val="20"/>
                    </w:rPr>
                  </m:ctrlPr>
                </m:sSupPr>
                <m:e>
                  <m:r>
                    <w:rPr>
                      <w:rFonts w:ascii="Cambria Math" w:hAnsi="Cambria Math" w:cs="Times New Roman"/>
                      <w:sz w:val="20"/>
                      <w:szCs w:val="20"/>
                    </w:rPr>
                    <m:t>s</m:t>
                  </m:r>
                </m:e>
                <m:sup>
                  <m:r>
                    <w:rPr>
                      <w:rFonts w:ascii="Cambria Math" w:hAnsi="Cambria Math" w:cs="Times New Roman"/>
                      <w:sz w:val="20"/>
                      <w:szCs w:val="20"/>
                    </w:rPr>
                    <m:t>2</m:t>
                  </m:r>
                </m:sup>
              </m:sSup>
            </m:e>
          </m:d>
        </m:oMath>
      </m:oMathPara>
    </w:p>
    <w:p w:rsidR="00BC6DDF" w:rsidRPr="00020945" w:rsidRDefault="00BC6DDF" w:rsidP="00020945">
      <w:pPr>
        <w:spacing w:line="240" w:lineRule="auto"/>
        <w:jc w:val="both"/>
        <w:rPr>
          <w:rFonts w:ascii="Times New Roman" w:hAnsi="Times New Roman" w:cs="Times New Roman"/>
          <w:sz w:val="20"/>
          <w:szCs w:val="20"/>
        </w:rPr>
      </w:pPr>
      <w:r w:rsidRPr="00020945">
        <w:rPr>
          <w:rFonts w:ascii="Times New Roman" w:hAnsi="Times New Roman" w:cs="Times New Roman"/>
          <w:sz w:val="20"/>
          <w:szCs w:val="20"/>
        </w:rPr>
        <w:t xml:space="preserve">where </w:t>
      </w:r>
      <m:oMath>
        <m:r>
          <w:rPr>
            <w:rFonts w:ascii="Cambria Math" w:hAnsi="Cambria Math" w:cs="Times New Roman"/>
            <w:sz w:val="20"/>
            <w:szCs w:val="20"/>
          </w:rPr>
          <m:t>f</m:t>
        </m:r>
        <m:d>
          <m:dPr>
            <m:ctrlPr>
              <w:rPr>
                <w:rFonts w:ascii="Cambria Math" w:hAnsi="Cambria Math" w:cs="Times New Roman"/>
                <w:sz w:val="20"/>
                <w:szCs w:val="20"/>
              </w:rPr>
            </m:ctrlPr>
          </m:dPr>
          <m:e>
            <m:r>
              <w:rPr>
                <w:rFonts w:ascii="Cambria Math" w:hAnsi="Cambria Math" w:cs="Times New Roman"/>
                <w:sz w:val="20"/>
                <w:szCs w:val="20"/>
              </w:rPr>
              <m:t>μ,</m:t>
            </m:r>
            <m:sSup>
              <m:sSupPr>
                <m:ctrlPr>
                  <w:rPr>
                    <w:rFonts w:ascii="Cambria Math" w:hAnsi="Cambria Math" w:cs="Times New Roman"/>
                    <w:sz w:val="20"/>
                    <w:szCs w:val="20"/>
                  </w:rPr>
                </m:ctrlPr>
              </m:sSupPr>
              <m:e>
                <m:r>
                  <w:rPr>
                    <w:rFonts w:ascii="Cambria Math" w:hAnsi="Cambria Math" w:cs="Times New Roman"/>
                    <w:sz w:val="20"/>
                    <w:szCs w:val="20"/>
                  </w:rPr>
                  <m:t>σ</m:t>
                </m:r>
              </m:e>
              <m:sup>
                <m:r>
                  <w:rPr>
                    <w:rFonts w:ascii="Cambria Math" w:hAnsi="Cambria Math" w:cs="Times New Roman"/>
                    <w:sz w:val="20"/>
                    <w:szCs w:val="20"/>
                  </w:rPr>
                  <m:t>2</m:t>
                </m:r>
              </m:sup>
            </m:sSup>
          </m:e>
        </m:d>
      </m:oMath>
      <w:r w:rsidRPr="00020945">
        <w:rPr>
          <w:rFonts w:ascii="Times New Roman" w:hAnsi="Times New Roman" w:cs="Times New Roman"/>
          <w:sz w:val="20"/>
          <w:szCs w:val="20"/>
        </w:rPr>
        <w:t xml:space="preserve"> is a general distribution with mean </w:t>
      </w:r>
      <m:oMath>
        <m:r>
          <w:rPr>
            <w:rFonts w:ascii="Cambria Math" w:hAnsi="Cambria Math" w:cs="Times New Roman"/>
            <w:sz w:val="20"/>
            <w:szCs w:val="20"/>
          </w:rPr>
          <m:t>μ</m:t>
        </m:r>
      </m:oMath>
      <w:r w:rsidRPr="00020945">
        <w:rPr>
          <w:rFonts w:ascii="Times New Roman" w:hAnsi="Times New Roman" w:cs="Times New Roman"/>
          <w:sz w:val="20"/>
          <w:szCs w:val="20"/>
        </w:rPr>
        <w:t xml:space="preserve"> and variance </w:t>
      </w:r>
      <m:oMath>
        <m:sSup>
          <m:sSupPr>
            <m:ctrlPr>
              <w:rPr>
                <w:rFonts w:ascii="Cambria Math" w:hAnsi="Cambria Math" w:cs="Times New Roman"/>
                <w:sz w:val="20"/>
                <w:szCs w:val="20"/>
              </w:rPr>
            </m:ctrlPr>
          </m:sSupPr>
          <m:e>
            <m:r>
              <w:rPr>
                <w:rFonts w:ascii="Cambria Math" w:hAnsi="Cambria Math" w:cs="Times New Roman"/>
                <w:sz w:val="20"/>
                <w:szCs w:val="20"/>
              </w:rPr>
              <m:t>σ</m:t>
            </m:r>
          </m:e>
          <m:sup>
            <m:r>
              <w:rPr>
                <w:rFonts w:ascii="Cambria Math" w:hAnsi="Cambria Math" w:cs="Times New Roman"/>
                <w:sz w:val="20"/>
                <w:szCs w:val="20"/>
              </w:rPr>
              <m:t>2</m:t>
            </m:r>
          </m:sup>
        </m:sSup>
      </m:oMath>
      <w:r w:rsidRPr="00020945">
        <w:rPr>
          <w:rFonts w:ascii="Times New Roman" w:hAnsi="Times New Roman" w:cs="Times New Roman"/>
          <w:sz w:val="20"/>
          <w:szCs w:val="20"/>
        </w:rPr>
        <w:t xml:space="preserve">. The proportional and additive biases are distributed as </w:t>
      </w:r>
      <m:oMath>
        <m:r>
          <w:rPr>
            <w:rFonts w:ascii="Cambria Math" w:hAnsi="Cambria Math" w:cs="Times New Roman"/>
            <w:sz w:val="20"/>
            <w:szCs w:val="20"/>
          </w:rPr>
          <m:t>β~f</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μ</m:t>
                </m:r>
              </m:e>
              <m:sub>
                <m:r>
                  <w:rPr>
                    <w:rFonts w:ascii="Cambria Math" w:hAnsi="Cambria Math" w:cs="Times New Roman"/>
                    <w:sz w:val="20"/>
                    <w:szCs w:val="20"/>
                  </w:rPr>
                  <m:t>β</m:t>
                </m:r>
              </m:sub>
            </m:sSub>
            <m:r>
              <w:rPr>
                <w:rFonts w:ascii="Cambria Math" w:hAnsi="Cambria Math" w:cs="Times New Roman"/>
                <w:sz w:val="20"/>
                <w:szCs w:val="20"/>
              </w:rPr>
              <m:t>,</m:t>
            </m:r>
            <m:sSubSup>
              <m:sSubSupPr>
                <m:ctrlPr>
                  <w:rPr>
                    <w:rFonts w:ascii="Cambria Math" w:hAnsi="Cambria Math" w:cs="Times New Roman"/>
                    <w:sz w:val="20"/>
                    <w:szCs w:val="20"/>
                  </w:rPr>
                </m:ctrlPr>
              </m:sSubSupPr>
              <m:e>
                <m:r>
                  <w:rPr>
                    <w:rFonts w:ascii="Cambria Math" w:hAnsi="Cambria Math" w:cs="Times New Roman"/>
                    <w:sz w:val="20"/>
                    <w:szCs w:val="20"/>
                  </w:rPr>
                  <m:t>σ</m:t>
                </m:r>
              </m:e>
              <m:sub>
                <m:r>
                  <w:rPr>
                    <w:rFonts w:ascii="Cambria Math" w:hAnsi="Cambria Math" w:cs="Times New Roman"/>
                    <w:sz w:val="20"/>
                    <w:szCs w:val="20"/>
                  </w:rPr>
                  <m:t>β</m:t>
                </m:r>
              </m:sub>
              <m:sup>
                <m:r>
                  <w:rPr>
                    <w:rFonts w:ascii="Cambria Math" w:hAnsi="Cambria Math" w:cs="Times New Roman"/>
                    <w:sz w:val="20"/>
                    <w:szCs w:val="20"/>
                  </w:rPr>
                  <m:t>2</m:t>
                </m:r>
              </m:sup>
            </m:sSubSup>
          </m:e>
        </m:d>
      </m:oMath>
      <w:r w:rsidRPr="00020945">
        <w:rPr>
          <w:rFonts w:ascii="Times New Roman" w:hAnsi="Times New Roman" w:cs="Times New Roman"/>
          <w:sz w:val="20"/>
          <w:szCs w:val="20"/>
        </w:rPr>
        <w:t xml:space="preserve"> and </w:t>
      </w:r>
      <m:oMath>
        <m:r>
          <w:rPr>
            <w:rFonts w:ascii="Cambria Math" w:hAnsi="Cambria Math" w:cs="Times New Roman"/>
            <w:sz w:val="20"/>
            <w:szCs w:val="20"/>
          </w:rPr>
          <m:t>δ~f</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μ</m:t>
                </m:r>
              </m:e>
              <m:sub>
                <m:r>
                  <w:rPr>
                    <w:rFonts w:ascii="Cambria Math" w:hAnsi="Cambria Math" w:cs="Times New Roman"/>
                    <w:sz w:val="20"/>
                    <w:szCs w:val="20"/>
                  </w:rPr>
                  <m:t>δ</m:t>
                </m:r>
              </m:sub>
            </m:sSub>
            <m:r>
              <w:rPr>
                <w:rFonts w:ascii="Cambria Math" w:hAnsi="Cambria Math" w:cs="Times New Roman"/>
                <w:sz w:val="20"/>
                <w:szCs w:val="20"/>
              </w:rPr>
              <m:t>,</m:t>
            </m:r>
            <m:sSubSup>
              <m:sSubSupPr>
                <m:ctrlPr>
                  <w:rPr>
                    <w:rFonts w:ascii="Cambria Math" w:hAnsi="Cambria Math" w:cs="Times New Roman"/>
                    <w:sz w:val="20"/>
                    <w:szCs w:val="20"/>
                  </w:rPr>
                </m:ctrlPr>
              </m:sSubSupPr>
              <m:e>
                <m:r>
                  <w:rPr>
                    <w:rFonts w:ascii="Cambria Math" w:hAnsi="Cambria Math" w:cs="Times New Roman"/>
                    <w:sz w:val="20"/>
                    <w:szCs w:val="20"/>
                  </w:rPr>
                  <m:t>σ</m:t>
                </m:r>
              </m:e>
              <m:sub>
                <m:r>
                  <w:rPr>
                    <w:rFonts w:ascii="Cambria Math" w:hAnsi="Cambria Math" w:cs="Times New Roman"/>
                    <w:sz w:val="20"/>
                    <w:szCs w:val="20"/>
                  </w:rPr>
                  <m:t>δ</m:t>
                </m:r>
              </m:sub>
              <m:sup>
                <m:r>
                  <w:rPr>
                    <w:rFonts w:ascii="Cambria Math" w:hAnsi="Cambria Math" w:cs="Times New Roman"/>
                    <w:sz w:val="20"/>
                    <w:szCs w:val="20"/>
                  </w:rPr>
                  <m:t>2</m:t>
                </m:r>
              </m:sup>
            </m:sSubSup>
          </m:e>
        </m:d>
      </m:oMath>
      <w:r w:rsidRPr="00020945">
        <w:rPr>
          <w:rFonts w:ascii="Times New Roman" w:hAnsi="Times New Roman" w:cs="Times New Roman"/>
          <w:sz w:val="20"/>
          <w:szCs w:val="20"/>
        </w:rPr>
        <w:t xml:space="preserve">. </w:t>
      </w:r>
    </w:p>
    <w:p w:rsidR="00BC6DDF" w:rsidRPr="00020945" w:rsidRDefault="00BC6DDF" w:rsidP="00020945">
      <w:pPr>
        <w:spacing w:line="240" w:lineRule="auto"/>
        <w:jc w:val="both"/>
        <w:rPr>
          <w:rFonts w:ascii="Times New Roman" w:hAnsi="Times New Roman" w:cs="Times New Roman"/>
          <w:sz w:val="20"/>
          <w:szCs w:val="20"/>
        </w:rPr>
      </w:pPr>
      <w:r w:rsidRPr="00020945">
        <w:rPr>
          <w:rFonts w:ascii="Times New Roman" w:hAnsi="Times New Roman" w:cs="Times New Roman"/>
          <w:sz w:val="20"/>
          <w:szCs w:val="20"/>
        </w:rPr>
        <w:t xml:space="preserve">There are assumed to be different sources of bias, such as selection bias and performance bias, which contribute to the overall bias. A questionnaire was provided to each independent reviewer regarding different sources of bias within the study, and each reviewer provider their beliefs about the bias. The full elicitation process is described by Turner </w:t>
      </w:r>
      <w:r w:rsidRPr="00020945">
        <w:rPr>
          <w:rFonts w:ascii="Times New Roman" w:hAnsi="Times New Roman" w:cs="Times New Roman"/>
          <w:i/>
          <w:sz w:val="20"/>
          <w:szCs w:val="20"/>
        </w:rPr>
        <w:t>et al</w:t>
      </w:r>
      <w:r w:rsidRPr="00020945">
        <w:rPr>
          <w:rFonts w:ascii="Times New Roman" w:hAnsi="Times New Roman" w:cs="Times New Roman"/>
          <w:sz w:val="20"/>
          <w:szCs w:val="20"/>
        </w:rPr>
        <w:t xml:space="preserve">, along with methods for determining </w:t>
      </w:r>
      <m:oMath>
        <m:sSub>
          <m:sSubPr>
            <m:ctrlPr>
              <w:rPr>
                <w:rFonts w:ascii="Cambria Math" w:hAnsi="Cambria Math" w:cs="Times New Roman"/>
                <w:sz w:val="20"/>
                <w:szCs w:val="20"/>
              </w:rPr>
            </m:ctrlPr>
          </m:sSubPr>
          <m:e>
            <m:r>
              <w:rPr>
                <w:rFonts w:ascii="Cambria Math" w:hAnsi="Cambria Math" w:cs="Times New Roman"/>
                <w:sz w:val="20"/>
                <w:szCs w:val="20"/>
              </w:rPr>
              <m:t>μ</m:t>
            </m:r>
          </m:e>
          <m:sub>
            <m:r>
              <w:rPr>
                <w:rFonts w:ascii="Cambria Math" w:hAnsi="Cambria Math" w:cs="Times New Roman"/>
                <w:sz w:val="20"/>
                <w:szCs w:val="20"/>
              </w:rPr>
              <m:t>β</m:t>
            </m:r>
          </m:sub>
        </m:sSub>
      </m:oMath>
      <w:r w:rsidRPr="00020945">
        <w:rPr>
          <w:rFonts w:ascii="Times New Roman" w:hAnsi="Times New Roman" w:cs="Times New Roman"/>
          <w:sz w:val="20"/>
          <w:szCs w:val="20"/>
        </w:rPr>
        <w:t xml:space="preserve">, </w:t>
      </w:r>
      <m:oMath>
        <m:sSubSup>
          <m:sSubSupPr>
            <m:ctrlPr>
              <w:rPr>
                <w:rFonts w:ascii="Cambria Math" w:hAnsi="Cambria Math" w:cs="Times New Roman"/>
                <w:sz w:val="20"/>
                <w:szCs w:val="20"/>
              </w:rPr>
            </m:ctrlPr>
          </m:sSubSupPr>
          <m:e>
            <m:r>
              <w:rPr>
                <w:rFonts w:ascii="Cambria Math" w:hAnsi="Cambria Math" w:cs="Times New Roman"/>
                <w:sz w:val="20"/>
                <w:szCs w:val="20"/>
              </w:rPr>
              <m:t>σ</m:t>
            </m:r>
          </m:e>
          <m:sub>
            <m:r>
              <w:rPr>
                <w:rFonts w:ascii="Cambria Math" w:hAnsi="Cambria Math" w:cs="Times New Roman"/>
                <w:sz w:val="20"/>
                <w:szCs w:val="20"/>
              </w:rPr>
              <m:t>β</m:t>
            </m:r>
          </m:sub>
          <m:sup>
            <m:r>
              <w:rPr>
                <w:rFonts w:ascii="Cambria Math" w:hAnsi="Cambria Math" w:cs="Times New Roman"/>
                <w:sz w:val="20"/>
                <w:szCs w:val="20"/>
              </w:rPr>
              <m:t>2</m:t>
            </m:r>
          </m:sup>
        </m:sSubSup>
      </m:oMath>
      <w:r w:rsidRPr="00020945">
        <w:rPr>
          <w:rFonts w:ascii="Times New Roman" w:hAnsi="Times New Roman" w:cs="Times New Roman"/>
          <w:sz w:val="20"/>
          <w:szCs w:val="20"/>
        </w:rPr>
        <w:t xml:space="preserve">, </w:t>
      </w:r>
      <m:oMath>
        <m:sSub>
          <m:sSubPr>
            <m:ctrlPr>
              <w:rPr>
                <w:rFonts w:ascii="Cambria Math" w:hAnsi="Cambria Math" w:cs="Times New Roman"/>
                <w:sz w:val="20"/>
                <w:szCs w:val="20"/>
              </w:rPr>
            </m:ctrlPr>
          </m:sSubPr>
          <m:e>
            <m:r>
              <w:rPr>
                <w:rFonts w:ascii="Cambria Math" w:hAnsi="Cambria Math" w:cs="Times New Roman"/>
                <w:sz w:val="20"/>
                <w:szCs w:val="20"/>
              </w:rPr>
              <m:t>μ</m:t>
            </m:r>
          </m:e>
          <m:sub>
            <m:r>
              <w:rPr>
                <w:rFonts w:ascii="Cambria Math" w:hAnsi="Cambria Math" w:cs="Times New Roman"/>
                <w:sz w:val="20"/>
                <w:szCs w:val="20"/>
              </w:rPr>
              <m:t>δ</m:t>
            </m:r>
          </m:sub>
        </m:sSub>
      </m:oMath>
      <w:r w:rsidRPr="00020945">
        <w:rPr>
          <w:rFonts w:ascii="Times New Roman" w:hAnsi="Times New Roman" w:cs="Times New Roman"/>
          <w:sz w:val="20"/>
          <w:szCs w:val="20"/>
        </w:rPr>
        <w:t xml:space="preserve">, and </w:t>
      </w:r>
      <m:oMath>
        <m:sSubSup>
          <m:sSubSupPr>
            <m:ctrlPr>
              <w:rPr>
                <w:rFonts w:ascii="Cambria Math" w:hAnsi="Cambria Math" w:cs="Times New Roman"/>
                <w:sz w:val="20"/>
                <w:szCs w:val="20"/>
              </w:rPr>
            </m:ctrlPr>
          </m:sSubSupPr>
          <m:e>
            <m:r>
              <w:rPr>
                <w:rFonts w:ascii="Cambria Math" w:hAnsi="Cambria Math" w:cs="Times New Roman"/>
                <w:sz w:val="20"/>
                <w:szCs w:val="20"/>
              </w:rPr>
              <m:t>σ</m:t>
            </m:r>
          </m:e>
          <m:sub>
            <m:r>
              <w:rPr>
                <w:rFonts w:ascii="Cambria Math" w:hAnsi="Cambria Math" w:cs="Times New Roman"/>
                <w:sz w:val="20"/>
                <w:szCs w:val="20"/>
              </w:rPr>
              <m:t>δ</m:t>
            </m:r>
          </m:sub>
          <m:sup>
            <m:r>
              <w:rPr>
                <w:rFonts w:ascii="Cambria Math" w:hAnsi="Cambria Math" w:cs="Times New Roman"/>
                <w:sz w:val="20"/>
                <w:szCs w:val="20"/>
              </w:rPr>
              <m:t>2</m:t>
            </m:r>
          </m:sup>
        </m:sSubSup>
      </m:oMath>
      <w:r w:rsidR="0037529E">
        <w:rPr>
          <w:rFonts w:ascii="Times New Roman" w:hAnsi="Times New Roman" w:cs="Times New Roman"/>
          <w:sz w:val="20"/>
          <w:szCs w:val="20"/>
        </w:rPr>
        <w:t>.</w:t>
      </w:r>
      <w:r w:rsidR="0037529E" w:rsidRPr="0037529E">
        <w:rPr>
          <w:rFonts w:ascii="Times New Roman" w:hAnsi="Times New Roman" w:cs="Times New Roman"/>
          <w:sz w:val="20"/>
          <w:szCs w:val="20"/>
          <w:vertAlign w:val="superscript"/>
        </w:rPr>
        <w:t>1</w:t>
      </w:r>
      <w:r w:rsidRPr="00020945">
        <w:rPr>
          <w:rFonts w:ascii="Times New Roman" w:hAnsi="Times New Roman" w:cs="Times New Roman"/>
          <w:sz w:val="20"/>
          <w:szCs w:val="20"/>
        </w:rPr>
        <w:t xml:space="preserve"> Results were pooled between reviewers by taking medians of the mean and standard errors.</w:t>
      </w:r>
    </w:p>
    <w:p w:rsidR="00BC6DDF" w:rsidRPr="00020945" w:rsidRDefault="00BC6DDF" w:rsidP="00020945">
      <w:pPr>
        <w:spacing w:line="240" w:lineRule="auto"/>
        <w:jc w:val="both"/>
        <w:rPr>
          <w:rFonts w:ascii="Times New Roman" w:hAnsi="Times New Roman" w:cs="Times New Roman"/>
          <w:sz w:val="20"/>
          <w:szCs w:val="20"/>
        </w:rPr>
      </w:pPr>
      <w:r w:rsidRPr="00020945">
        <w:rPr>
          <w:rFonts w:ascii="Times New Roman" w:hAnsi="Times New Roman" w:cs="Times New Roman"/>
          <w:sz w:val="20"/>
          <w:szCs w:val="20"/>
        </w:rPr>
        <w:t xml:space="preserve">The effectiveness parameter </w:t>
      </w:r>
      <m:oMath>
        <m:r>
          <w:rPr>
            <w:rFonts w:ascii="Cambria Math" w:hAnsi="Cambria Math" w:cs="Times New Roman"/>
            <w:sz w:val="20"/>
            <w:szCs w:val="20"/>
          </w:rPr>
          <m:t>θ</m:t>
        </m:r>
      </m:oMath>
      <w:r w:rsidRPr="00020945">
        <w:rPr>
          <w:rFonts w:ascii="Times New Roman" w:hAnsi="Times New Roman" w:cs="Times New Roman"/>
          <w:sz w:val="20"/>
          <w:szCs w:val="20"/>
        </w:rPr>
        <w:t xml:space="preserve"> is a relative risk. We converted the odds ratios in the observational data to relative risks</w:t>
      </w:r>
      <w:r w:rsidR="0037529E">
        <w:rPr>
          <w:rFonts w:ascii="Times New Roman" w:hAnsi="Times New Roman" w:cs="Times New Roman"/>
          <w:sz w:val="20"/>
          <w:szCs w:val="20"/>
        </w:rPr>
        <w:t>.</w:t>
      </w:r>
      <w:r w:rsidR="0037529E">
        <w:rPr>
          <w:rFonts w:ascii="Times New Roman" w:hAnsi="Times New Roman" w:cs="Times New Roman"/>
          <w:sz w:val="20"/>
          <w:szCs w:val="20"/>
          <w:vertAlign w:val="superscript"/>
        </w:rPr>
        <w:t>2</w:t>
      </w:r>
      <w:r w:rsidRPr="00020945">
        <w:rPr>
          <w:rFonts w:ascii="Times New Roman" w:hAnsi="Times New Roman" w:cs="Times New Roman"/>
          <w:sz w:val="20"/>
          <w:szCs w:val="20"/>
        </w:rPr>
        <w:t xml:space="preserve"> </w:t>
      </w:r>
    </w:p>
    <w:p w:rsidR="00BC6DDF" w:rsidRPr="00020945" w:rsidRDefault="00BC6DDF" w:rsidP="00020945">
      <w:pPr>
        <w:spacing w:line="240" w:lineRule="auto"/>
        <w:jc w:val="both"/>
        <w:rPr>
          <w:rFonts w:ascii="Times New Roman" w:hAnsi="Times New Roman" w:cs="Times New Roman"/>
          <w:sz w:val="20"/>
          <w:szCs w:val="20"/>
        </w:rPr>
      </w:pPr>
      <w:r w:rsidRPr="00020945">
        <w:rPr>
          <w:rFonts w:ascii="Times New Roman" w:hAnsi="Times New Roman" w:cs="Times New Roman"/>
          <w:sz w:val="20"/>
          <w:szCs w:val="20"/>
        </w:rPr>
        <w:t>The bias corrected estimator of the effectiveness of oseltamivir was then calculated as:</w:t>
      </w:r>
    </w:p>
    <w:p w:rsidR="00BC6DDF" w:rsidRPr="00020945" w:rsidRDefault="007078FA" w:rsidP="00020945">
      <w:pPr>
        <w:spacing w:line="240" w:lineRule="auto"/>
        <w:rPr>
          <w:rFonts w:ascii="Times New Roman" w:hAnsi="Times New Roman" w:cs="Times New Roman"/>
          <w:sz w:val="20"/>
          <w:szCs w:val="20"/>
        </w:rPr>
      </w:pPr>
      <m:oMathPara>
        <m:oMath>
          <m:acc>
            <m:accPr>
              <m:chr m:val="^"/>
              <m:ctrlPr>
                <w:rPr>
                  <w:rFonts w:ascii="Cambria Math" w:hAnsi="Cambria Math" w:cs="Times New Roman"/>
                  <w:sz w:val="20"/>
                  <w:szCs w:val="20"/>
                </w:rPr>
              </m:ctrlPr>
            </m:accPr>
            <m:e>
              <m:r>
                <w:rPr>
                  <w:rFonts w:ascii="Cambria Math" w:hAnsi="Cambria Math" w:cs="Times New Roman"/>
                  <w:sz w:val="20"/>
                  <w:szCs w:val="20"/>
                </w:rPr>
                <m:t>θ</m:t>
              </m:r>
            </m:e>
          </m:acc>
          <m: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y-δ</m:t>
              </m:r>
            </m:num>
            <m:den>
              <m:r>
                <w:rPr>
                  <w:rFonts w:ascii="Cambria Math" w:hAnsi="Cambria Math" w:cs="Times New Roman"/>
                  <w:sz w:val="20"/>
                  <w:szCs w:val="20"/>
                </w:rPr>
                <m:t>β</m:t>
              </m:r>
            </m:den>
          </m:f>
        </m:oMath>
      </m:oMathPara>
    </w:p>
    <w:p w:rsidR="00BC6DDF" w:rsidRPr="00020945" w:rsidRDefault="00BC6DDF" w:rsidP="00020945">
      <w:pPr>
        <w:spacing w:line="240" w:lineRule="auto"/>
        <w:rPr>
          <w:rFonts w:ascii="Times New Roman" w:hAnsi="Times New Roman" w:cs="Times New Roman"/>
          <w:sz w:val="20"/>
          <w:szCs w:val="20"/>
        </w:rPr>
      </w:pPr>
      <w:r w:rsidRPr="00020945">
        <w:rPr>
          <w:rFonts w:ascii="Times New Roman" w:hAnsi="Times New Roman" w:cs="Times New Roman"/>
          <w:sz w:val="20"/>
          <w:szCs w:val="20"/>
        </w:rPr>
        <w:t>With corresponding estimate of the standard error:</w:t>
      </w:r>
    </w:p>
    <w:p w:rsidR="00BC6DDF" w:rsidRPr="00020945" w:rsidRDefault="00BC6DDF" w:rsidP="00020945">
      <w:pPr>
        <w:spacing w:line="240" w:lineRule="auto"/>
        <w:rPr>
          <w:rFonts w:ascii="Times New Roman" w:hAnsi="Times New Roman" w:cs="Times New Roman"/>
          <w:sz w:val="20"/>
          <w:szCs w:val="20"/>
        </w:rPr>
      </w:pPr>
      <m:oMathPara>
        <m:oMath>
          <m:r>
            <w:rPr>
              <w:rFonts w:ascii="Cambria Math" w:hAnsi="Cambria Math" w:cs="Times New Roman"/>
              <w:sz w:val="20"/>
              <w:szCs w:val="20"/>
            </w:rPr>
            <m:t>SE</m:t>
          </m:r>
          <m:d>
            <m:dPr>
              <m:ctrlPr>
                <w:rPr>
                  <w:rFonts w:ascii="Cambria Math" w:hAnsi="Cambria Math" w:cs="Times New Roman"/>
                  <w:sz w:val="20"/>
                  <w:szCs w:val="20"/>
                </w:rPr>
              </m:ctrlPr>
            </m:dPr>
            <m:e>
              <m:acc>
                <m:accPr>
                  <m:chr m:val="^"/>
                  <m:ctrlPr>
                    <w:rPr>
                      <w:rFonts w:ascii="Cambria Math" w:hAnsi="Cambria Math" w:cs="Times New Roman"/>
                      <w:sz w:val="20"/>
                      <w:szCs w:val="20"/>
                    </w:rPr>
                  </m:ctrlPr>
                </m:accPr>
                <m:e>
                  <m:r>
                    <w:rPr>
                      <w:rFonts w:ascii="Cambria Math" w:hAnsi="Cambria Math" w:cs="Times New Roman"/>
                      <w:sz w:val="20"/>
                      <w:szCs w:val="20"/>
                    </w:rPr>
                    <m:t>θ</m:t>
                  </m:r>
                </m:e>
              </m:acc>
            </m:e>
          </m:d>
          <m: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s</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sz w:val="20"/>
                  <w:szCs w:val="20"/>
                </w:rPr>
              </m:ctrlPr>
            </m:sSupPr>
            <m:e>
              <m:acc>
                <m:accPr>
                  <m:chr m:val="^"/>
                  <m:ctrlPr>
                    <w:rPr>
                      <w:rFonts w:ascii="Cambria Math" w:hAnsi="Cambria Math" w:cs="Times New Roman"/>
                      <w:sz w:val="20"/>
                      <w:szCs w:val="20"/>
                    </w:rPr>
                  </m:ctrlPr>
                </m:accPr>
                <m:e>
                  <m:r>
                    <w:rPr>
                      <w:rFonts w:ascii="Cambria Math" w:hAnsi="Cambria Math" w:cs="Times New Roman"/>
                      <w:sz w:val="20"/>
                      <w:szCs w:val="20"/>
                    </w:rPr>
                    <m:t>θ</m:t>
                  </m:r>
                </m:e>
              </m:acc>
            </m:e>
            <m:sup>
              <m:r>
                <w:rPr>
                  <w:rFonts w:ascii="Cambria Math" w:hAnsi="Cambria Math" w:cs="Times New Roman"/>
                  <w:sz w:val="20"/>
                  <w:szCs w:val="20"/>
                </w:rPr>
                <m:t>2</m:t>
              </m:r>
            </m:sup>
          </m:sSup>
          <m:sSubSup>
            <m:sSubSupPr>
              <m:ctrlPr>
                <w:rPr>
                  <w:rFonts w:ascii="Cambria Math" w:hAnsi="Cambria Math" w:cs="Times New Roman"/>
                  <w:sz w:val="20"/>
                  <w:szCs w:val="20"/>
                </w:rPr>
              </m:ctrlPr>
            </m:sSubSupPr>
            <m:e>
              <m:r>
                <w:rPr>
                  <w:rFonts w:ascii="Cambria Math" w:hAnsi="Cambria Math" w:cs="Times New Roman"/>
                  <w:sz w:val="20"/>
                  <w:szCs w:val="20"/>
                </w:rPr>
                <m:t>σ</m:t>
              </m:r>
            </m:e>
            <m:sub>
              <m:r>
                <w:rPr>
                  <w:rFonts w:ascii="Cambria Math" w:hAnsi="Cambria Math" w:cs="Times New Roman"/>
                  <w:sz w:val="20"/>
                  <w:szCs w:val="20"/>
                </w:rPr>
                <m:t>β</m:t>
              </m:r>
            </m:sub>
            <m:sup>
              <m:r>
                <w:rPr>
                  <w:rFonts w:ascii="Cambria Math" w:hAnsi="Cambria Math" w:cs="Times New Roman"/>
                  <w:sz w:val="20"/>
                  <w:szCs w:val="20"/>
                </w:rPr>
                <m:t>2</m:t>
              </m:r>
            </m:sup>
          </m:sSubSup>
          <m:r>
            <w:rPr>
              <w:rFonts w:ascii="Cambria Math" w:hAnsi="Cambria Math" w:cs="Times New Roman"/>
              <w:sz w:val="20"/>
              <w:szCs w:val="20"/>
            </w:rPr>
            <m:t>+</m:t>
          </m:r>
          <m:sSubSup>
            <m:sSubSupPr>
              <m:ctrlPr>
                <w:rPr>
                  <w:rFonts w:ascii="Cambria Math" w:hAnsi="Cambria Math" w:cs="Times New Roman"/>
                  <w:sz w:val="20"/>
                  <w:szCs w:val="20"/>
                </w:rPr>
              </m:ctrlPr>
            </m:sSubSupPr>
            <m:e>
              <m:r>
                <w:rPr>
                  <w:rFonts w:ascii="Cambria Math" w:hAnsi="Cambria Math" w:cs="Times New Roman"/>
                  <w:sz w:val="20"/>
                  <w:szCs w:val="20"/>
                </w:rPr>
                <m:t>σ</m:t>
              </m:r>
            </m:e>
            <m:sub>
              <m:r>
                <w:rPr>
                  <w:rFonts w:ascii="Cambria Math" w:hAnsi="Cambria Math" w:cs="Times New Roman"/>
                  <w:sz w:val="20"/>
                  <w:szCs w:val="20"/>
                </w:rPr>
                <m:t>δ</m:t>
              </m:r>
            </m:sub>
            <m:sup>
              <m:r>
                <w:rPr>
                  <w:rFonts w:ascii="Cambria Math" w:hAnsi="Cambria Math" w:cs="Times New Roman"/>
                  <w:sz w:val="20"/>
                  <w:szCs w:val="20"/>
                </w:rPr>
                <m:t>2</m:t>
              </m:r>
            </m:sup>
          </m:sSubSup>
        </m:oMath>
      </m:oMathPara>
    </w:p>
    <w:p w:rsidR="00BC6DDF" w:rsidRPr="00020945" w:rsidRDefault="00BC6DDF" w:rsidP="00020945">
      <w:pPr>
        <w:spacing w:line="240" w:lineRule="auto"/>
        <w:jc w:val="both"/>
        <w:rPr>
          <w:rFonts w:ascii="Times New Roman" w:hAnsi="Times New Roman" w:cs="Times New Roman"/>
          <w:sz w:val="20"/>
          <w:szCs w:val="20"/>
        </w:rPr>
      </w:pPr>
      <w:r w:rsidRPr="00020945">
        <w:rPr>
          <w:rFonts w:ascii="Times New Roman" w:hAnsi="Times New Roman" w:cs="Times New Roman"/>
          <w:sz w:val="20"/>
          <w:szCs w:val="20"/>
        </w:rPr>
        <w:t>We have focussed here on what are described as ‘internal’ biases and not ‘external’ biases. This is because the external biases mostly relate to events as yet unobserved which are incorporated in the model. Similarly, variable access to the treatment is accommodated in the model. Our approach is consistent with Turner et al</w:t>
      </w:r>
      <w:r w:rsidR="00B74A8F">
        <w:rPr>
          <w:rFonts w:ascii="Times New Roman" w:hAnsi="Times New Roman" w:cs="Times New Roman"/>
          <w:sz w:val="20"/>
          <w:szCs w:val="20"/>
        </w:rPr>
        <w:t xml:space="preserve">. </w:t>
      </w:r>
      <w:r w:rsidRPr="00020945">
        <w:rPr>
          <w:rFonts w:ascii="Times New Roman" w:hAnsi="Times New Roman" w:cs="Times New Roman"/>
          <w:sz w:val="20"/>
          <w:szCs w:val="20"/>
        </w:rPr>
        <w:t>who advocate that only internal biases are considered in a systematic review/meta-analysis.</w:t>
      </w:r>
      <w:r w:rsidR="00B74A8F" w:rsidRPr="00B74A8F">
        <w:rPr>
          <w:rFonts w:ascii="Times New Roman" w:hAnsi="Times New Roman" w:cs="Times New Roman"/>
          <w:sz w:val="20"/>
          <w:szCs w:val="20"/>
          <w:vertAlign w:val="superscript"/>
        </w:rPr>
        <w:t>1</w:t>
      </w:r>
      <w:r w:rsidRPr="00020945">
        <w:rPr>
          <w:rFonts w:ascii="Times New Roman" w:hAnsi="Times New Roman" w:cs="Times New Roman"/>
          <w:sz w:val="20"/>
          <w:szCs w:val="20"/>
        </w:rPr>
        <w:t xml:space="preserve"> Our study provides the modelling corollary of such a review.</w:t>
      </w:r>
    </w:p>
    <w:p w:rsidR="00BC6DDF" w:rsidRDefault="00BC6DDF" w:rsidP="00020945">
      <w:pPr>
        <w:spacing w:line="240" w:lineRule="auto"/>
        <w:rPr>
          <w:rFonts w:ascii="Times New Roman" w:hAnsi="Times New Roman" w:cs="Times New Roman"/>
          <w:b/>
          <w:sz w:val="20"/>
          <w:szCs w:val="20"/>
        </w:rPr>
      </w:pPr>
      <w:r w:rsidRPr="00020945">
        <w:rPr>
          <w:rFonts w:ascii="Times New Roman" w:hAnsi="Times New Roman" w:cs="Times New Roman"/>
          <w:b/>
          <w:sz w:val="20"/>
          <w:szCs w:val="20"/>
        </w:rPr>
        <w:t>Statistical Code</w:t>
      </w:r>
      <w:r w:rsidR="00915797">
        <w:rPr>
          <w:rFonts w:ascii="Times New Roman" w:hAnsi="Times New Roman" w:cs="Times New Roman"/>
          <w:b/>
          <w:sz w:val="20"/>
          <w:szCs w:val="20"/>
        </w:rPr>
        <w:t xml:space="preserve"> for WinBUGS</w:t>
      </w:r>
    </w:p>
    <w:p w:rsidR="00915797" w:rsidRPr="00915797" w:rsidRDefault="00915797" w:rsidP="00020945">
      <w:pPr>
        <w:spacing w:line="240" w:lineRule="auto"/>
        <w:rPr>
          <w:rFonts w:ascii="Times New Roman" w:hAnsi="Times New Roman" w:cs="Times New Roman"/>
          <w:sz w:val="20"/>
          <w:szCs w:val="20"/>
        </w:rPr>
      </w:pPr>
      <w:r w:rsidRPr="00915797">
        <w:rPr>
          <w:rFonts w:ascii="Times New Roman" w:hAnsi="Times New Roman" w:cs="Times New Roman"/>
          <w:sz w:val="20"/>
          <w:szCs w:val="20"/>
        </w:rPr>
        <w:t>The code provided here is for WinBUGS and R, which the analysis was initially run in. However, in later versions the model was run in Stan, for which the code is available as a file alongside the article.</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require(R2OpenBUGS)</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require(coda)</w:t>
      </w:r>
    </w:p>
    <w:p w:rsidR="00BC6DDF" w:rsidRPr="00020945" w:rsidRDefault="00BC6DDF" w:rsidP="00020945">
      <w:pPr>
        <w:spacing w:after="0" w:line="240" w:lineRule="auto"/>
        <w:rPr>
          <w:rFonts w:ascii="Consolas" w:hAnsi="Consolas" w:cs="Consolas"/>
          <w:sz w:val="16"/>
          <w:szCs w:val="16"/>
        </w:rPr>
      </w:pP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model&lt;-function(){</w:t>
      </w:r>
    </w:p>
    <w:p w:rsidR="00BC6DDF" w:rsidRPr="00020945" w:rsidRDefault="00BC6DDF" w:rsidP="00020945">
      <w:pPr>
        <w:spacing w:after="0" w:line="240" w:lineRule="auto"/>
        <w:rPr>
          <w:rFonts w:ascii="Consolas" w:hAnsi="Consolas" w:cs="Consolas"/>
          <w:sz w:val="16"/>
          <w:szCs w:val="16"/>
        </w:rPr>
      </w:pP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#loss function</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l2 &lt;- c - lambda  * pop *  car.1 * cfr.1 * age.4 * (1 - theta) * prob * p_hosp</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#priors for parameters</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prob ~ dbern(prob.1)</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theta ~ dnorm(0.89,123.456)  </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car.1 ~ dbeta(alpha, beta)</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cfr.1 ~ dbeta(alpha2, beta2)</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age.1 ~ dbeta(r1,r2)</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age.2 &lt;- 82.5-age.1*81.5</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age.3 &lt;- round(age.2)</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age.4 &lt;- 0.8 * age.npv[age.3]</w:t>
      </w:r>
    </w:p>
    <w:p w:rsidR="00BC6DDF" w:rsidRPr="00020945" w:rsidRDefault="00BC6DDF" w:rsidP="00020945">
      <w:pPr>
        <w:spacing w:after="0" w:line="240" w:lineRule="auto"/>
        <w:rPr>
          <w:rFonts w:ascii="Consolas" w:hAnsi="Consolas" w:cs="Consolas"/>
          <w:sz w:val="16"/>
          <w:szCs w:val="16"/>
        </w:rPr>
      </w:pP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#model for clinical attack rate  </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for(i in 1:4){</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car[i]~dbeta(alpha,beta)</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alpha ~ dunif(0,1000)</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lastRenderedPageBreak/>
        <w:t xml:space="preserve">  beta ~ dunif(0,1000)</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#model for case fatality ratio</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for(i in 1:5){</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cfr[i]~dbeta(alpha2,beta2)</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alpha2 ~ dunif(0,1000)</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beta2 ~ dunif(0,1000)</w:t>
      </w:r>
    </w:p>
    <w:p w:rsidR="00BC6DDF" w:rsidRPr="00020945" w:rsidRDefault="00BC6DDF" w:rsidP="00020945">
      <w:pPr>
        <w:spacing w:after="0" w:line="240" w:lineRule="auto"/>
        <w:rPr>
          <w:rFonts w:ascii="Consolas" w:hAnsi="Consolas" w:cs="Consolas"/>
          <w:sz w:val="16"/>
          <w:szCs w:val="16"/>
        </w:rPr>
      </w:pP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#model for remaining QALYs</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for(i in 1:4){</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age[i]~dbeta(r1,r2)</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r1 ~ dunif(0,1000)</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r2 ~ dunif(0,1000)</w:t>
      </w:r>
    </w:p>
    <w:p w:rsidR="00BC6DDF" w:rsidRPr="00020945" w:rsidRDefault="00BC6DDF" w:rsidP="00020945">
      <w:pPr>
        <w:spacing w:after="0" w:line="240" w:lineRule="auto"/>
        <w:rPr>
          <w:rFonts w:ascii="Consolas" w:hAnsi="Consolas" w:cs="Consolas"/>
          <w:sz w:val="16"/>
          <w:szCs w:val="16"/>
        </w:rPr>
      </w:pP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#model for probability of pandemic in a decade</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for(i in 1:11){</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freq[i]~dbern(prob.1)</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prob.1~dunif(0,1)</w:t>
      </w:r>
    </w:p>
    <w:p w:rsidR="00BC6DDF" w:rsidRPr="00020945" w:rsidRDefault="00BC6DDF" w:rsidP="00020945">
      <w:pPr>
        <w:spacing w:after="0" w:line="240" w:lineRule="auto"/>
        <w:rPr>
          <w:rFonts w:ascii="Consolas" w:hAnsi="Consolas" w:cs="Consolas"/>
          <w:sz w:val="16"/>
          <w:szCs w:val="16"/>
        </w:rPr>
      </w:pP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#model for proportion of deaths hospitalised</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tot_hosp ~ dbin(p_hosp,n_hosp)</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p_hosp ~ dbeta(0.0001,0.0001)</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w:t>
      </w:r>
    </w:p>
    <w:p w:rsidR="00BC6DDF" w:rsidRPr="00020945" w:rsidRDefault="00BC6DDF" w:rsidP="00020945">
      <w:pPr>
        <w:spacing w:after="0" w:line="240" w:lineRule="auto"/>
        <w:rPr>
          <w:rFonts w:ascii="Consolas" w:hAnsi="Consolas" w:cs="Consolas"/>
          <w:sz w:val="16"/>
          <w:szCs w:val="16"/>
        </w:rPr>
      </w:pP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model.file &lt;- file.path(tempdir(),"model.txt") </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write.model(model, model.file)</w:t>
      </w:r>
    </w:p>
    <w:p w:rsidR="00BC6DDF" w:rsidRPr="00020945" w:rsidRDefault="00BC6DDF" w:rsidP="00020945">
      <w:pPr>
        <w:spacing w:after="0" w:line="240" w:lineRule="auto"/>
        <w:rPr>
          <w:rFonts w:ascii="Consolas" w:hAnsi="Consolas" w:cs="Consolas"/>
          <w:sz w:val="16"/>
          <w:szCs w:val="16"/>
        </w:rPr>
      </w:pP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#data</w:t>
      </w:r>
    </w:p>
    <w:p w:rsidR="00BC6DDF" w:rsidRPr="00020945" w:rsidRDefault="00BC6DDF" w:rsidP="00020945">
      <w:pPr>
        <w:spacing w:after="0" w:line="240" w:lineRule="auto"/>
        <w:rPr>
          <w:rFonts w:ascii="Consolas" w:hAnsi="Consolas" w:cs="Consolas"/>
          <w:sz w:val="16"/>
          <w:szCs w:val="16"/>
        </w:rPr>
      </w:pP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params&lt;-c("theta","l2","car.1","cfr.1","age.4","prob.1","p_hosp")</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c &lt;- 560000000</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pop &lt;- 50500000</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obs&lt;- 0.75</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lambda&lt;-20000</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qaly&lt;-18.3</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car&lt;-c(0.25,0.30,0.35,0.07)</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cfr&lt;-c(0.0028,0.025,0.004,0.004,0.0005)</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age&lt;-c(27,65,62,45)</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age&lt;-age/81.5</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age.npv&lt;-sapply(1:200,function(x)npv(x,0.035))</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freq&lt;-c(0,1,0,0,0,1,1,0,0,0,1)</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tot_hosp&lt;-125</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n_hosp&lt;-136</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#prob&lt;-1-(dpois(0,lambda=0.04)^10)</w:t>
      </w:r>
    </w:p>
    <w:p w:rsidR="00BC6DDF" w:rsidRPr="00020945" w:rsidRDefault="00BC6DDF" w:rsidP="00020945">
      <w:pPr>
        <w:spacing w:after="0" w:line="240" w:lineRule="auto"/>
        <w:rPr>
          <w:rFonts w:ascii="Consolas" w:hAnsi="Consolas" w:cs="Consolas"/>
          <w:sz w:val="16"/>
          <w:szCs w:val="16"/>
        </w:rPr>
      </w:pP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data&lt;-list("c","pop","lambda","car","cfr","age.npv","age","freq","tot_hosp","n_hosp")</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inits &lt;- function() { list(alpha=1, beta =1,alpha2=1, beta2 =1, r1=1, r2=1, rate=0.3,p_hosp=0.5) }</w:t>
      </w:r>
    </w:p>
    <w:p w:rsidR="00BC6DDF" w:rsidRPr="00020945" w:rsidRDefault="00BC6DDF" w:rsidP="00020945">
      <w:pPr>
        <w:spacing w:after="0" w:line="240" w:lineRule="auto"/>
        <w:rPr>
          <w:rFonts w:ascii="Consolas" w:hAnsi="Consolas" w:cs="Consolas"/>
          <w:sz w:val="16"/>
          <w:szCs w:val="16"/>
        </w:rPr>
      </w:pP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out &lt;- bugs(data, inits, params,model,codaPkg=TRUE,</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n.iter=10000,n.thin=10,bugs.seed=5)</w:t>
      </w:r>
    </w:p>
    <w:p w:rsidR="00BC6DDF" w:rsidRPr="00020945" w:rsidRDefault="00BC6DDF" w:rsidP="00020945">
      <w:pPr>
        <w:spacing w:after="0" w:line="240" w:lineRule="auto"/>
        <w:rPr>
          <w:rFonts w:ascii="Consolas" w:hAnsi="Consolas" w:cs="Consolas"/>
          <w:sz w:val="16"/>
          <w:szCs w:val="16"/>
        </w:rPr>
      </w:pP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npv&lt;-function(t,r){</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npv&lt;-0</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for(i in 0:t){</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npv&lt;-npv+1/(1+r)^i</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 xml:space="preserve">  return(npv)</w:t>
      </w:r>
    </w:p>
    <w:p w:rsidR="00BC6DDF" w:rsidRPr="00020945" w:rsidRDefault="00BC6DDF" w:rsidP="00020945">
      <w:pPr>
        <w:spacing w:after="0" w:line="240" w:lineRule="auto"/>
        <w:rPr>
          <w:rFonts w:ascii="Consolas" w:hAnsi="Consolas" w:cs="Consolas"/>
          <w:sz w:val="16"/>
          <w:szCs w:val="16"/>
        </w:rPr>
      </w:pPr>
      <w:r w:rsidRPr="00020945">
        <w:rPr>
          <w:rFonts w:ascii="Consolas" w:hAnsi="Consolas" w:cs="Consolas"/>
          <w:sz w:val="16"/>
          <w:szCs w:val="16"/>
        </w:rPr>
        <w:t>}</w:t>
      </w:r>
    </w:p>
    <w:p w:rsidR="00C13F50" w:rsidRDefault="00C13F50" w:rsidP="00020945">
      <w:pPr>
        <w:spacing w:line="240" w:lineRule="auto"/>
        <w:rPr>
          <w:rFonts w:ascii="Consolas" w:hAnsi="Consolas" w:cs="Consolas"/>
          <w:sz w:val="16"/>
          <w:szCs w:val="16"/>
        </w:rPr>
      </w:pPr>
    </w:p>
    <w:p w:rsidR="00B74A8F" w:rsidRPr="00B74A8F" w:rsidRDefault="00B74A8F" w:rsidP="00020945">
      <w:pPr>
        <w:spacing w:line="240" w:lineRule="auto"/>
        <w:rPr>
          <w:rFonts w:ascii="Times New Roman" w:hAnsi="Times New Roman" w:cs="Times New Roman"/>
          <w:b/>
          <w:sz w:val="20"/>
          <w:szCs w:val="20"/>
        </w:rPr>
      </w:pPr>
      <w:r w:rsidRPr="00B74A8F">
        <w:rPr>
          <w:rFonts w:ascii="Times New Roman" w:hAnsi="Times New Roman" w:cs="Times New Roman"/>
          <w:b/>
          <w:sz w:val="20"/>
          <w:szCs w:val="20"/>
        </w:rPr>
        <w:t>References</w:t>
      </w:r>
    </w:p>
    <w:p w:rsidR="00B74A8F" w:rsidRDefault="0037529E" w:rsidP="00020945">
      <w:pPr>
        <w:spacing w:line="240" w:lineRule="auto"/>
        <w:rPr>
          <w:rFonts w:ascii="Times New Roman" w:hAnsi="Times New Roman" w:cs="Times New Roman"/>
          <w:noProof/>
          <w:sz w:val="20"/>
          <w:szCs w:val="20"/>
        </w:rPr>
      </w:pPr>
      <w:r>
        <w:rPr>
          <w:rFonts w:ascii="Times New Roman" w:hAnsi="Times New Roman" w:cs="Times New Roman"/>
          <w:sz w:val="20"/>
          <w:szCs w:val="20"/>
        </w:rPr>
        <w:t>1</w:t>
      </w:r>
      <w:r>
        <w:rPr>
          <w:rFonts w:ascii="Times New Roman" w:hAnsi="Times New Roman" w:cs="Times New Roman"/>
          <w:sz w:val="20"/>
          <w:szCs w:val="20"/>
        </w:rPr>
        <w:tab/>
      </w:r>
      <w:r w:rsidR="00227674" w:rsidRPr="00227674">
        <w:rPr>
          <w:rFonts w:ascii="Times New Roman" w:hAnsi="Times New Roman" w:cs="Times New Roman"/>
          <w:noProof/>
          <w:sz w:val="20"/>
          <w:szCs w:val="20"/>
        </w:rPr>
        <w:t>Turner RM, Spiegelhalter DJ, Smith GCS, Thompson SG</w:t>
      </w:r>
      <w:r w:rsidR="00227674" w:rsidRPr="00227674">
        <w:rPr>
          <w:rFonts w:ascii="Times New Roman" w:hAnsi="Times New Roman" w:cs="Times New Roman"/>
          <w:i/>
          <w:iCs/>
          <w:noProof/>
          <w:sz w:val="20"/>
          <w:szCs w:val="20"/>
        </w:rPr>
        <w:t>.</w:t>
      </w:r>
      <w:r w:rsidR="00227674" w:rsidRPr="00227674">
        <w:rPr>
          <w:rFonts w:ascii="Times New Roman" w:hAnsi="Times New Roman" w:cs="Times New Roman"/>
          <w:noProof/>
          <w:sz w:val="20"/>
          <w:szCs w:val="20"/>
        </w:rPr>
        <w:t xml:space="preserve"> Bias modelling in evidence synthesis. </w:t>
      </w:r>
      <w:r w:rsidR="00227674" w:rsidRPr="00227674">
        <w:rPr>
          <w:rFonts w:ascii="Times New Roman" w:hAnsi="Times New Roman" w:cs="Times New Roman"/>
          <w:i/>
          <w:iCs/>
          <w:noProof/>
          <w:sz w:val="20"/>
          <w:szCs w:val="20"/>
        </w:rPr>
        <w:t>J R Stat Soc Ser A Stat Soc</w:t>
      </w:r>
      <w:r w:rsidR="00227674" w:rsidRPr="00227674">
        <w:rPr>
          <w:rFonts w:ascii="Times New Roman" w:hAnsi="Times New Roman" w:cs="Times New Roman"/>
          <w:noProof/>
          <w:sz w:val="20"/>
          <w:szCs w:val="20"/>
        </w:rPr>
        <w:t xml:space="preserve"> 2009;</w:t>
      </w:r>
      <w:r w:rsidR="00227674" w:rsidRPr="00227674">
        <w:rPr>
          <w:rFonts w:ascii="Times New Roman" w:hAnsi="Times New Roman" w:cs="Times New Roman"/>
          <w:b/>
          <w:bCs/>
          <w:noProof/>
          <w:sz w:val="20"/>
          <w:szCs w:val="20"/>
        </w:rPr>
        <w:t>172</w:t>
      </w:r>
      <w:r w:rsidR="00227674" w:rsidRPr="00227674">
        <w:rPr>
          <w:rFonts w:ascii="Times New Roman" w:hAnsi="Times New Roman" w:cs="Times New Roman"/>
          <w:noProof/>
          <w:sz w:val="20"/>
          <w:szCs w:val="20"/>
        </w:rPr>
        <w:t>:21–47. doi:10.1111/j.1467-985X.2008.00547.x</w:t>
      </w:r>
    </w:p>
    <w:p w:rsidR="0037529E" w:rsidRPr="00227674" w:rsidRDefault="0037529E" w:rsidP="00020945">
      <w:pPr>
        <w:spacing w:line="240" w:lineRule="auto"/>
        <w:rPr>
          <w:rFonts w:ascii="Times New Roman" w:hAnsi="Times New Roman" w:cs="Times New Roman"/>
          <w:noProof/>
          <w:sz w:val="20"/>
          <w:szCs w:val="20"/>
        </w:rPr>
      </w:pPr>
      <w:r>
        <w:rPr>
          <w:rFonts w:ascii="Times New Roman" w:hAnsi="Times New Roman" w:cs="Times New Roman"/>
          <w:noProof/>
          <w:sz w:val="20"/>
          <w:szCs w:val="20"/>
        </w:rPr>
        <w:t xml:space="preserve">2 </w:t>
      </w:r>
      <w:r>
        <w:rPr>
          <w:rFonts w:ascii="Times New Roman" w:hAnsi="Times New Roman" w:cs="Times New Roman"/>
          <w:noProof/>
          <w:sz w:val="20"/>
          <w:szCs w:val="20"/>
        </w:rPr>
        <w:tab/>
      </w:r>
      <w:r w:rsidRPr="0037529E">
        <w:rPr>
          <w:rFonts w:ascii="Times New Roman" w:hAnsi="Times New Roman" w:cs="Times New Roman"/>
          <w:noProof/>
          <w:sz w:val="20"/>
        </w:rPr>
        <w:t xml:space="preserve">Grant RL. Converting an odds ratio to a range of plausible relative risks for better communication of research findings. </w:t>
      </w:r>
      <w:r w:rsidRPr="0037529E">
        <w:rPr>
          <w:rFonts w:ascii="Times New Roman" w:hAnsi="Times New Roman" w:cs="Times New Roman"/>
          <w:i/>
          <w:iCs/>
          <w:noProof/>
          <w:sz w:val="20"/>
        </w:rPr>
        <w:t>BMJ</w:t>
      </w:r>
      <w:r w:rsidRPr="0037529E">
        <w:rPr>
          <w:rFonts w:ascii="Times New Roman" w:hAnsi="Times New Roman" w:cs="Times New Roman"/>
          <w:noProof/>
          <w:sz w:val="20"/>
        </w:rPr>
        <w:t xml:space="preserve"> 2014;</w:t>
      </w:r>
      <w:r w:rsidRPr="0037529E">
        <w:rPr>
          <w:rFonts w:ascii="Times New Roman" w:hAnsi="Times New Roman" w:cs="Times New Roman"/>
          <w:b/>
          <w:bCs/>
          <w:noProof/>
          <w:sz w:val="20"/>
        </w:rPr>
        <w:t>348</w:t>
      </w:r>
      <w:r w:rsidRPr="0037529E">
        <w:rPr>
          <w:rFonts w:ascii="Times New Roman" w:hAnsi="Times New Roman" w:cs="Times New Roman"/>
          <w:noProof/>
          <w:sz w:val="20"/>
        </w:rPr>
        <w:t>:f7450–f7450. doi:10.1136/bmj.f7450</w:t>
      </w:r>
    </w:p>
    <w:p w:rsidR="00227674" w:rsidRDefault="00227674">
      <w:pPr>
        <w:suppressAutoHyphens w:val="0"/>
        <w:spacing w:line="259" w:lineRule="auto"/>
        <w:rPr>
          <w:rFonts w:ascii="Times New Roman" w:hAnsi="Times New Roman" w:cs="Times New Roman"/>
          <w:noProof/>
          <w:sz w:val="20"/>
          <w:szCs w:val="20"/>
        </w:rPr>
      </w:pPr>
      <w:r>
        <w:rPr>
          <w:rFonts w:ascii="Times New Roman" w:hAnsi="Times New Roman" w:cs="Times New Roman"/>
          <w:noProof/>
          <w:sz w:val="20"/>
          <w:szCs w:val="20"/>
        </w:rPr>
        <w:br w:type="page"/>
      </w:r>
    </w:p>
    <w:p w:rsidR="00227674" w:rsidRPr="007A3C9D" w:rsidRDefault="00227674" w:rsidP="00227674">
      <w:pPr>
        <w:pageBreakBefore/>
        <w:spacing w:line="240" w:lineRule="auto"/>
        <w:rPr>
          <w:rFonts w:ascii="Times New Roman" w:hAnsi="Times New Roman" w:cs="Times New Roman"/>
          <w:b/>
          <w:sz w:val="24"/>
          <w:szCs w:val="20"/>
        </w:rPr>
      </w:pPr>
      <w:r w:rsidRPr="007A3C9D">
        <w:rPr>
          <w:rFonts w:ascii="Times New Roman" w:hAnsi="Times New Roman" w:cs="Times New Roman"/>
          <w:b/>
          <w:sz w:val="24"/>
          <w:szCs w:val="20"/>
        </w:rPr>
        <w:lastRenderedPageBreak/>
        <w:t xml:space="preserve">Appendix </w:t>
      </w:r>
      <w:r>
        <w:rPr>
          <w:rFonts w:ascii="Times New Roman" w:hAnsi="Times New Roman" w:cs="Times New Roman"/>
          <w:b/>
          <w:sz w:val="24"/>
          <w:szCs w:val="20"/>
        </w:rPr>
        <w:t>B</w:t>
      </w:r>
      <w:r w:rsidRPr="007A3C9D">
        <w:rPr>
          <w:rFonts w:ascii="Times New Roman" w:hAnsi="Times New Roman" w:cs="Times New Roman"/>
          <w:b/>
          <w:sz w:val="24"/>
          <w:szCs w:val="20"/>
        </w:rPr>
        <w:t xml:space="preserve">: </w:t>
      </w:r>
      <w:r>
        <w:rPr>
          <w:rFonts w:ascii="Times New Roman" w:hAnsi="Times New Roman" w:cs="Times New Roman"/>
          <w:b/>
          <w:sz w:val="24"/>
          <w:szCs w:val="20"/>
        </w:rPr>
        <w:t>Data S</w:t>
      </w:r>
      <w:r w:rsidRPr="007A3C9D">
        <w:rPr>
          <w:rFonts w:ascii="Times New Roman" w:hAnsi="Times New Roman" w:cs="Times New Roman"/>
          <w:b/>
          <w:sz w:val="24"/>
          <w:szCs w:val="20"/>
        </w:rPr>
        <w:t>ources and</w:t>
      </w:r>
      <w:r>
        <w:rPr>
          <w:rFonts w:ascii="Times New Roman" w:hAnsi="Times New Roman" w:cs="Times New Roman"/>
          <w:b/>
          <w:sz w:val="24"/>
          <w:szCs w:val="20"/>
        </w:rPr>
        <w:t xml:space="preserve"> Additional R</w:t>
      </w:r>
      <w:r w:rsidRPr="007A3C9D">
        <w:rPr>
          <w:rFonts w:ascii="Times New Roman" w:hAnsi="Times New Roman" w:cs="Times New Roman"/>
          <w:b/>
          <w:sz w:val="24"/>
          <w:szCs w:val="20"/>
        </w:rPr>
        <w:t>esults</w:t>
      </w:r>
    </w:p>
    <w:p w:rsidR="00227674" w:rsidRPr="007A3C9D" w:rsidRDefault="00227674" w:rsidP="00227674">
      <w:pPr>
        <w:spacing w:line="240" w:lineRule="auto"/>
        <w:rPr>
          <w:rFonts w:ascii="Times New Roman" w:hAnsi="Times New Roman" w:cs="Times New Roman"/>
          <w:b/>
          <w:sz w:val="20"/>
          <w:szCs w:val="20"/>
        </w:rPr>
      </w:pPr>
      <w:r w:rsidRPr="007A3C9D">
        <w:rPr>
          <w:rFonts w:ascii="Times New Roman" w:hAnsi="Times New Roman" w:cs="Times New Roman"/>
          <w:b/>
          <w:sz w:val="20"/>
          <w:szCs w:val="20"/>
        </w:rPr>
        <w:t>Previous pandemics</w:t>
      </w:r>
    </w:p>
    <w:p w:rsidR="00227674" w:rsidRDefault="00227674" w:rsidP="00227674">
      <w:pPr>
        <w:spacing w:line="240" w:lineRule="auto"/>
        <w:rPr>
          <w:rFonts w:ascii="Times New Roman" w:hAnsi="Times New Roman" w:cs="Times New Roman"/>
          <w:sz w:val="20"/>
          <w:szCs w:val="20"/>
        </w:rPr>
      </w:pPr>
      <w:r w:rsidRPr="007A3C9D">
        <w:rPr>
          <w:rFonts w:ascii="Times New Roman" w:hAnsi="Times New Roman" w:cs="Times New Roman"/>
          <w:sz w:val="20"/>
          <w:szCs w:val="20"/>
        </w:rPr>
        <w:t>Table B1 shows clinical attack rates (CAR) and case fatality ratios (CFR) from previous influenza pandemics for which these data were available that were used in our model.</w:t>
      </w:r>
      <w:r w:rsidRPr="007A3C9D">
        <w:rPr>
          <w:rFonts w:ascii="Times New Roman" w:hAnsi="Times New Roman" w:cs="Times New Roman"/>
          <w:sz w:val="20"/>
          <w:szCs w:val="20"/>
          <w:vertAlign w:val="superscript"/>
        </w:rPr>
        <w:t>1</w:t>
      </w:r>
      <w:r>
        <w:rPr>
          <w:rFonts w:ascii="Times New Roman" w:hAnsi="Times New Roman" w:cs="Times New Roman"/>
          <w:sz w:val="20"/>
          <w:szCs w:val="20"/>
        </w:rPr>
        <w:t xml:space="preserve"> </w:t>
      </w:r>
    </w:p>
    <w:p w:rsidR="00227674" w:rsidRDefault="00227674" w:rsidP="00227674">
      <w:pPr>
        <w:spacing w:line="240" w:lineRule="auto"/>
        <w:rPr>
          <w:rFonts w:ascii="Times New Roman" w:hAnsi="Times New Roman" w:cs="Times New Roman"/>
          <w:sz w:val="20"/>
          <w:szCs w:val="20"/>
        </w:rPr>
      </w:pPr>
      <w:r w:rsidRPr="007A3C9D">
        <w:rPr>
          <w:rFonts w:ascii="Times New Roman" w:hAnsi="Times New Roman" w:cs="Times New Roman"/>
          <w:sz w:val="20"/>
          <w:szCs w:val="20"/>
        </w:rPr>
        <w:t>Figure B1 shows the prior distributions for the CAR and CFR used in the model. Beta distributions were used and parameters were estimated from the data in table B1. Methods are presented in Appendix A.</w:t>
      </w:r>
    </w:p>
    <w:p w:rsidR="00227674" w:rsidRPr="007A3C9D" w:rsidRDefault="00227674" w:rsidP="00227674">
      <w:pPr>
        <w:spacing w:line="240" w:lineRule="auto"/>
        <w:rPr>
          <w:rFonts w:ascii="Times New Roman" w:hAnsi="Times New Roman" w:cs="Times New Roman"/>
          <w:b/>
          <w:sz w:val="20"/>
          <w:szCs w:val="20"/>
        </w:rPr>
      </w:pPr>
      <w:r w:rsidRPr="007A3C9D">
        <w:rPr>
          <w:rFonts w:ascii="Times New Roman" w:hAnsi="Times New Roman" w:cs="Times New Roman"/>
          <w:b/>
          <w:sz w:val="20"/>
          <w:szCs w:val="20"/>
        </w:rPr>
        <w:t>Oseltamivir Effectiveness and Bias Correction</w:t>
      </w:r>
    </w:p>
    <w:p w:rsidR="00227674" w:rsidRPr="007A3C9D" w:rsidRDefault="00227674" w:rsidP="00227674">
      <w:pPr>
        <w:spacing w:line="240" w:lineRule="auto"/>
        <w:jc w:val="both"/>
        <w:rPr>
          <w:rFonts w:ascii="Times New Roman" w:hAnsi="Times New Roman" w:cs="Times New Roman"/>
          <w:sz w:val="20"/>
          <w:szCs w:val="20"/>
        </w:rPr>
      </w:pPr>
      <w:r w:rsidRPr="007A3C9D">
        <w:rPr>
          <w:rFonts w:ascii="Times New Roman" w:hAnsi="Times New Roman" w:cs="Times New Roman"/>
          <w:sz w:val="20"/>
          <w:szCs w:val="20"/>
        </w:rPr>
        <w:t xml:space="preserve">The adjusted effectiveness estimate used in this study was an odds ratio (OR) of 0.81 (95% confidence interval: 0.70, 0.93) as reported in Muthuri </w:t>
      </w:r>
      <w:r w:rsidRPr="007A3C9D">
        <w:rPr>
          <w:rFonts w:ascii="Times New Roman" w:hAnsi="Times New Roman" w:cs="Times New Roman"/>
          <w:i/>
          <w:sz w:val="20"/>
          <w:szCs w:val="20"/>
        </w:rPr>
        <w:t>et al</w:t>
      </w:r>
      <w:r w:rsidRPr="007A3C9D">
        <w:rPr>
          <w:rFonts w:ascii="Times New Roman" w:hAnsi="Times New Roman" w:cs="Times New Roman"/>
          <w:sz w:val="20"/>
          <w:szCs w:val="20"/>
        </w:rPr>
        <w:t xml:space="preserve"> for the odds of mortality with neuraminidase inhibitors irrespective of timing compared to no treatment. To represent the reduction in the risk of mortality, we require a relative risk for the model. The baseline risk of mortality in the quoted study is approximately 10%. We convert to a RR using the formula:</w:t>
      </w:r>
      <m:oMath>
        <m:r>
          <w:rPr>
            <w:rFonts w:ascii="Cambria Math" w:hAnsi="Cambria Math" w:cs="Times New Roman"/>
            <w:sz w:val="20"/>
            <w:szCs w:val="20"/>
          </w:rPr>
          <m:t xml:space="preserve"> RR=OR/(1-p+</m:t>
        </m:r>
        <m:d>
          <m:dPr>
            <m:ctrlPr>
              <w:rPr>
                <w:rFonts w:ascii="Cambria Math" w:hAnsi="Cambria Math" w:cs="Times New Roman"/>
                <w:i/>
                <w:sz w:val="20"/>
                <w:szCs w:val="20"/>
              </w:rPr>
            </m:ctrlPr>
          </m:dPr>
          <m:e>
            <m:r>
              <w:rPr>
                <w:rFonts w:ascii="Cambria Math" w:hAnsi="Cambria Math" w:cs="Times New Roman"/>
                <w:sz w:val="20"/>
                <w:szCs w:val="20"/>
              </w:rPr>
              <m:t>p×OR</m:t>
            </m:r>
          </m:e>
        </m:d>
        <m:r>
          <w:rPr>
            <w:rFonts w:ascii="Cambria Math" w:hAnsi="Cambria Math" w:cs="Times New Roman"/>
            <w:sz w:val="20"/>
            <w:szCs w:val="20"/>
          </w:rPr>
          <m:t>)</m:t>
        </m:r>
      </m:oMath>
      <w:r w:rsidRPr="007A3C9D">
        <w:rPr>
          <w:rFonts w:ascii="Times New Roman" w:hAnsi="Times New Roman" w:cs="Times New Roman"/>
          <w:sz w:val="20"/>
          <w:szCs w:val="20"/>
        </w:rPr>
        <w:t>.</w:t>
      </w:r>
      <w:r w:rsidR="00F76E6B" w:rsidRPr="00F76E6B">
        <w:rPr>
          <w:rFonts w:ascii="Times New Roman" w:hAnsi="Times New Roman" w:cs="Times New Roman"/>
          <w:sz w:val="20"/>
          <w:szCs w:val="20"/>
          <w:vertAlign w:val="superscript"/>
        </w:rPr>
        <w:t>2</w:t>
      </w:r>
      <w:r w:rsidRPr="007A3C9D">
        <w:rPr>
          <w:rFonts w:ascii="Times New Roman" w:hAnsi="Times New Roman" w:cs="Times New Roman"/>
          <w:sz w:val="20"/>
          <w:szCs w:val="20"/>
        </w:rPr>
        <w:fldChar w:fldCharType="begin" w:fldLock="1"/>
      </w:r>
      <w:r w:rsidR="00F76E6B">
        <w:rPr>
          <w:rFonts w:ascii="Times New Roman" w:hAnsi="Times New Roman" w:cs="Times New Roman"/>
          <w:sz w:val="20"/>
          <w:szCs w:val="20"/>
        </w:rPr>
        <w:instrText>ADDIN CSL_CITATION { "citationItems" : [ { "id" : "ITEM-1", "itemData" : { "DOI" : "10.1136/bmj.f7450", "ISBN" : "1756-1833 (Electronic)\\r0959-535X (Linking)", "ISSN" : "1756-1833", "PMID" : "24464277", "abstract" : "Odds ratios are a necessary evil in medical research; although used as a measure of effect size from logistic regressions and case-control studies, they are poorly understood.This paper provides practical advice for authors and readers on converting odds ratios to relative risks.", "author" : [ { "dropping-particle" : "", "family" : "Grant", "given" : "Robert L", "non-dropping-particle" : "", "parse-names" : false, "suffix" : "" } ], "container-title" : "Bmj", "id" : "ITEM-1", "issue" : "jan24 1", "issued" : { "date-parts" : [ [ "2014" ] ] }, "page" : "f7450-f7450", "title" : "Converting an odds ratio to a range of plausible relative risks for better communication of research findings", "type" : "article-journal", "volume" : "348" }, "uris" : [ "http://www.mendeley.com/documents/?uuid=4844a927-2f58-4a47-aee9-5869425146f4" ] } ], "mendeley" : { "formattedCitation" : "[1]", "plainTextFormattedCitation" : "[1]", "previouslyFormattedCitation" : "[20]" }, "properties" : { "noteIndex" : 0 }, "schema" : "https://github.com/citation-style-language/schema/raw/master/csl-citation.json" }</w:instrText>
      </w:r>
      <w:r w:rsidRPr="007A3C9D">
        <w:rPr>
          <w:rFonts w:ascii="Times New Roman" w:hAnsi="Times New Roman" w:cs="Times New Roman"/>
          <w:sz w:val="20"/>
          <w:szCs w:val="20"/>
        </w:rPr>
        <w:fldChar w:fldCharType="end"/>
      </w:r>
      <w:r w:rsidR="00F76E6B">
        <w:rPr>
          <w:rFonts w:ascii="Times New Roman" w:hAnsi="Times New Roman" w:cs="Times New Roman"/>
          <w:sz w:val="20"/>
          <w:szCs w:val="20"/>
        </w:rPr>
        <w:t xml:space="preserve"> </w:t>
      </w:r>
      <w:r w:rsidRPr="007A3C9D">
        <w:rPr>
          <w:rFonts w:ascii="Times New Roman" w:hAnsi="Times New Roman" w:cs="Times New Roman"/>
          <w:sz w:val="20"/>
          <w:szCs w:val="20"/>
        </w:rPr>
        <w:t>This gives an estimated adjusted RR of 0.8</w:t>
      </w:r>
      <w:r w:rsidR="009706D0">
        <w:rPr>
          <w:rFonts w:ascii="Times New Roman" w:hAnsi="Times New Roman" w:cs="Times New Roman"/>
          <w:sz w:val="20"/>
          <w:szCs w:val="20"/>
        </w:rPr>
        <w:t>3 (0.71, 0.94</w:t>
      </w:r>
      <w:r w:rsidRPr="007A3C9D">
        <w:rPr>
          <w:rFonts w:ascii="Times New Roman" w:hAnsi="Times New Roman" w:cs="Times New Roman"/>
          <w:sz w:val="20"/>
          <w:szCs w:val="20"/>
        </w:rPr>
        <w:t>).</w:t>
      </w:r>
    </w:p>
    <w:p w:rsidR="00227674" w:rsidRPr="007A3C9D" w:rsidRDefault="00227674" w:rsidP="00227674">
      <w:pPr>
        <w:spacing w:line="240" w:lineRule="auto"/>
        <w:jc w:val="both"/>
        <w:rPr>
          <w:rFonts w:ascii="Times New Roman" w:hAnsi="Times New Roman" w:cs="Times New Roman"/>
          <w:sz w:val="20"/>
          <w:szCs w:val="20"/>
        </w:rPr>
      </w:pPr>
      <w:r w:rsidRPr="007A3C9D">
        <w:rPr>
          <w:rFonts w:ascii="Times New Roman" w:hAnsi="Times New Roman" w:cs="Times New Roman"/>
          <w:sz w:val="20"/>
          <w:szCs w:val="20"/>
        </w:rPr>
        <w:t xml:space="preserve">Figure B2 shows the estimates for total additive biases estimated by each reviewer presented as the effect the reviewer would expect to observe if there was no intervention effect in the study. The bias corrected relative risk was </w:t>
      </w:r>
      <w:r w:rsidR="009706D0" w:rsidRPr="007A3C9D">
        <w:rPr>
          <w:rFonts w:ascii="Times New Roman" w:hAnsi="Times New Roman" w:cs="Times New Roman"/>
          <w:sz w:val="20"/>
          <w:szCs w:val="20"/>
        </w:rPr>
        <w:t>0.89 (0.71, 1.07</w:t>
      </w:r>
      <w:r w:rsidRPr="007A3C9D">
        <w:rPr>
          <w:rFonts w:ascii="Times New Roman" w:hAnsi="Times New Roman" w:cs="Times New Roman"/>
          <w:sz w:val="20"/>
          <w:szCs w:val="20"/>
        </w:rPr>
        <w:t>).</w:t>
      </w:r>
    </w:p>
    <w:p w:rsidR="00227674" w:rsidRPr="007A3C9D" w:rsidRDefault="00227674" w:rsidP="00227674">
      <w:pPr>
        <w:spacing w:line="240" w:lineRule="auto"/>
        <w:rPr>
          <w:rFonts w:ascii="Times New Roman" w:hAnsi="Times New Roman" w:cs="Times New Roman"/>
          <w:sz w:val="20"/>
          <w:szCs w:val="20"/>
        </w:rPr>
      </w:pPr>
    </w:p>
    <w:p w:rsidR="00227674" w:rsidRPr="007A3C9D" w:rsidRDefault="00227674" w:rsidP="00227674">
      <w:pPr>
        <w:spacing w:line="240" w:lineRule="auto"/>
        <w:rPr>
          <w:rFonts w:ascii="Times New Roman" w:hAnsi="Times New Roman" w:cs="Times New Roman"/>
          <w:sz w:val="20"/>
          <w:szCs w:val="20"/>
        </w:rPr>
      </w:pPr>
      <w:r w:rsidRPr="007A3C9D">
        <w:rPr>
          <w:rFonts w:ascii="Times New Roman" w:hAnsi="Times New Roman" w:cs="Times New Roman"/>
          <w:b/>
          <w:sz w:val="20"/>
          <w:szCs w:val="20"/>
        </w:rPr>
        <w:t>Table B1</w:t>
      </w:r>
      <w:r w:rsidRPr="007A3C9D">
        <w:rPr>
          <w:rFonts w:ascii="Times New Roman" w:hAnsi="Times New Roman" w:cs="Times New Roman"/>
          <w:sz w:val="20"/>
          <w:szCs w:val="20"/>
        </w:rPr>
        <w:t>. Previous pandemics and associated clinical attack rates and case fatality ratios. Data from UK government document on the mitigation of pandemic influenza.</w:t>
      </w:r>
      <w:r w:rsidRPr="007A3C9D">
        <w:rPr>
          <w:rFonts w:ascii="Times New Roman" w:hAnsi="Times New Roman" w:cs="Times New Roman"/>
          <w:sz w:val="20"/>
          <w:szCs w:val="20"/>
        </w:rPr>
        <w:fldChar w:fldCharType="begin" w:fldLock="1"/>
      </w:r>
      <w:r w:rsidR="00F76E6B">
        <w:rPr>
          <w:rFonts w:ascii="Times New Roman" w:hAnsi="Times New Roman" w:cs="Times New Roman"/>
          <w:sz w:val="20"/>
          <w:szCs w:val="20"/>
        </w:rPr>
        <w:instrText>ADDIN CSL_CITATION { "citationItems" : [ { "id" : "ITEM-1", "itemData" : { "author" : [ { "dropping-particle" : "", "family" : "Department of Health", "given" : "", "non-dropping-particle" : "", "parse-names" : false, "suffix" : "" } ], "id" : "ITEM-1", "issued" : { "date-parts" : [ [ "2011" ] ] }, "publisher-place" : "London", "title" : "Scientific Summary of Pandemic Influenza &amp; its Mitigation", "type" : "report" }, "uris" : [ "http://www.mendeley.com/documents/?uuid=b6f0a46f-a00d-4047-980b-87b626fb2605" ] } ], "mendeley" : { "formattedCitation" : "[2]", "plainTextFormattedCitation" : "[2]", "previouslyFormattedCitation" : "[1]" }, "properties" : { "noteIndex" : 0 }, "schema" : "https://github.com/citation-style-language/schema/raw/master/csl-citation.json" }</w:instrText>
      </w:r>
      <w:r w:rsidRPr="007A3C9D">
        <w:rPr>
          <w:rFonts w:ascii="Times New Roman" w:hAnsi="Times New Roman" w:cs="Times New Roman"/>
          <w:sz w:val="20"/>
          <w:szCs w:val="20"/>
        </w:rPr>
        <w:fldChar w:fldCharType="separate"/>
      </w:r>
      <w:r w:rsidR="00F76E6B" w:rsidRPr="00F76E6B">
        <w:rPr>
          <w:rFonts w:ascii="Times New Roman" w:hAnsi="Times New Roman" w:cs="Times New Roman"/>
          <w:noProof/>
          <w:sz w:val="20"/>
          <w:szCs w:val="20"/>
        </w:rPr>
        <w:t>[2]</w:t>
      </w:r>
      <w:r w:rsidRPr="007A3C9D">
        <w:rPr>
          <w:rFonts w:ascii="Times New Roman" w:hAnsi="Times New Roman" w:cs="Times New Roman"/>
          <w:sz w:val="20"/>
          <w:szCs w:val="20"/>
        </w:rPr>
        <w:fldChar w:fldCharType="end"/>
      </w:r>
    </w:p>
    <w:tbl>
      <w:tblPr>
        <w:tblW w:w="0" w:type="auto"/>
        <w:tblBorders>
          <w:top w:val="single" w:sz="12" w:space="0" w:color="00000A"/>
          <w:left w:val="nil"/>
          <w:bottom w:val="single" w:sz="4" w:space="0" w:color="00000A"/>
          <w:right w:val="nil"/>
          <w:insideH w:val="single" w:sz="4" w:space="0" w:color="00000A"/>
          <w:insideV w:val="nil"/>
        </w:tblBorders>
        <w:tblLook w:val="04A0" w:firstRow="1" w:lastRow="0" w:firstColumn="1" w:lastColumn="0" w:noHBand="0" w:noVBand="1"/>
      </w:tblPr>
      <w:tblGrid>
        <w:gridCol w:w="1131"/>
        <w:gridCol w:w="1906"/>
        <w:gridCol w:w="2060"/>
        <w:gridCol w:w="1218"/>
        <w:gridCol w:w="1189"/>
        <w:gridCol w:w="1518"/>
      </w:tblGrid>
      <w:tr w:rsidR="00227674" w:rsidRPr="007A3C9D" w:rsidTr="00B9497C">
        <w:tc>
          <w:tcPr>
            <w:tcW w:w="1131" w:type="dxa"/>
            <w:tcBorders>
              <w:top w:val="single" w:sz="12" w:space="0" w:color="00000A"/>
              <w:left w:val="nil"/>
              <w:bottom w:val="single" w:sz="4" w:space="0" w:color="00000A"/>
              <w:right w:val="nil"/>
            </w:tcBorders>
            <w:shd w:val="clear" w:color="auto" w:fill="FFFFFF"/>
          </w:tcPr>
          <w:p w:rsidR="00227674" w:rsidRPr="007A3C9D" w:rsidRDefault="00227674" w:rsidP="00B9497C">
            <w:pPr>
              <w:spacing w:after="0" w:line="240" w:lineRule="auto"/>
              <w:rPr>
                <w:rFonts w:ascii="Times New Roman" w:hAnsi="Times New Roman" w:cs="Times New Roman"/>
                <w:b/>
                <w:sz w:val="16"/>
                <w:szCs w:val="20"/>
              </w:rPr>
            </w:pPr>
            <w:r w:rsidRPr="007A3C9D">
              <w:rPr>
                <w:rFonts w:ascii="Times New Roman" w:hAnsi="Times New Roman" w:cs="Times New Roman"/>
                <w:b/>
                <w:sz w:val="16"/>
                <w:szCs w:val="20"/>
              </w:rPr>
              <w:t>Year of Outbreak</w:t>
            </w:r>
          </w:p>
        </w:tc>
        <w:tc>
          <w:tcPr>
            <w:tcW w:w="1906" w:type="dxa"/>
            <w:tcBorders>
              <w:top w:val="single" w:sz="12" w:space="0" w:color="00000A"/>
              <w:left w:val="nil"/>
              <w:bottom w:val="single" w:sz="4" w:space="0" w:color="00000A"/>
              <w:right w:val="nil"/>
            </w:tcBorders>
            <w:shd w:val="clear" w:color="auto" w:fill="FFFFFF"/>
          </w:tcPr>
          <w:p w:rsidR="00227674" w:rsidRPr="007A3C9D" w:rsidRDefault="00227674" w:rsidP="00B9497C">
            <w:pPr>
              <w:spacing w:after="0" w:line="240" w:lineRule="auto"/>
              <w:rPr>
                <w:rFonts w:ascii="Times New Roman" w:hAnsi="Times New Roman" w:cs="Times New Roman"/>
                <w:b/>
                <w:sz w:val="16"/>
                <w:szCs w:val="20"/>
              </w:rPr>
            </w:pPr>
            <w:r w:rsidRPr="007A3C9D">
              <w:rPr>
                <w:rFonts w:ascii="Times New Roman" w:hAnsi="Times New Roman" w:cs="Times New Roman"/>
                <w:b/>
                <w:sz w:val="16"/>
                <w:szCs w:val="20"/>
              </w:rPr>
              <w:t>Pandemic</w:t>
            </w:r>
          </w:p>
        </w:tc>
        <w:tc>
          <w:tcPr>
            <w:tcW w:w="2060" w:type="dxa"/>
            <w:tcBorders>
              <w:top w:val="single" w:sz="12" w:space="0" w:color="00000A"/>
              <w:left w:val="nil"/>
              <w:bottom w:val="single" w:sz="4" w:space="0" w:color="00000A"/>
              <w:right w:val="nil"/>
            </w:tcBorders>
            <w:shd w:val="clear" w:color="auto" w:fill="FFFFFF"/>
          </w:tcPr>
          <w:p w:rsidR="00227674" w:rsidRPr="007A3C9D" w:rsidRDefault="00227674" w:rsidP="00B9497C">
            <w:pPr>
              <w:spacing w:after="0" w:line="240" w:lineRule="auto"/>
              <w:rPr>
                <w:rFonts w:ascii="Times New Roman" w:hAnsi="Times New Roman" w:cs="Times New Roman"/>
                <w:b/>
                <w:sz w:val="16"/>
                <w:szCs w:val="20"/>
              </w:rPr>
            </w:pPr>
            <w:r w:rsidRPr="007A3C9D">
              <w:rPr>
                <w:rFonts w:ascii="Times New Roman" w:hAnsi="Times New Roman" w:cs="Times New Roman"/>
                <w:b/>
                <w:sz w:val="16"/>
                <w:szCs w:val="20"/>
              </w:rPr>
              <w:t>Geographical Spread</w:t>
            </w:r>
          </w:p>
        </w:tc>
        <w:tc>
          <w:tcPr>
            <w:tcW w:w="1218" w:type="dxa"/>
            <w:tcBorders>
              <w:top w:val="single" w:sz="12" w:space="0" w:color="00000A"/>
              <w:left w:val="nil"/>
              <w:bottom w:val="single" w:sz="4" w:space="0" w:color="00000A"/>
              <w:right w:val="nil"/>
            </w:tcBorders>
            <w:shd w:val="clear" w:color="auto" w:fill="FFFFFF"/>
          </w:tcPr>
          <w:p w:rsidR="00227674" w:rsidRPr="007A3C9D" w:rsidRDefault="00227674" w:rsidP="00B9497C">
            <w:pPr>
              <w:spacing w:after="0" w:line="240" w:lineRule="auto"/>
              <w:rPr>
                <w:rFonts w:ascii="Times New Roman" w:hAnsi="Times New Roman" w:cs="Times New Roman"/>
                <w:b/>
                <w:sz w:val="16"/>
                <w:szCs w:val="20"/>
              </w:rPr>
            </w:pPr>
            <w:r w:rsidRPr="007A3C9D">
              <w:rPr>
                <w:rFonts w:ascii="Times New Roman" w:hAnsi="Times New Roman" w:cs="Times New Roman"/>
                <w:b/>
                <w:sz w:val="16"/>
                <w:szCs w:val="20"/>
              </w:rPr>
              <w:t>Clinical attack rates (%)</w:t>
            </w:r>
          </w:p>
        </w:tc>
        <w:tc>
          <w:tcPr>
            <w:tcW w:w="1189" w:type="dxa"/>
            <w:tcBorders>
              <w:top w:val="single" w:sz="12" w:space="0" w:color="00000A"/>
              <w:left w:val="nil"/>
              <w:bottom w:val="single" w:sz="4" w:space="0" w:color="00000A"/>
              <w:right w:val="nil"/>
            </w:tcBorders>
            <w:shd w:val="clear" w:color="auto" w:fill="FFFFFF"/>
          </w:tcPr>
          <w:p w:rsidR="00227674" w:rsidRPr="007A3C9D" w:rsidRDefault="00227674" w:rsidP="00B9497C">
            <w:pPr>
              <w:spacing w:after="0" w:line="240" w:lineRule="auto"/>
              <w:rPr>
                <w:rFonts w:ascii="Times New Roman" w:hAnsi="Times New Roman" w:cs="Times New Roman"/>
                <w:b/>
                <w:sz w:val="16"/>
                <w:szCs w:val="20"/>
              </w:rPr>
            </w:pPr>
            <w:r w:rsidRPr="007A3C9D">
              <w:rPr>
                <w:rFonts w:ascii="Times New Roman" w:hAnsi="Times New Roman" w:cs="Times New Roman"/>
                <w:b/>
                <w:sz w:val="16"/>
                <w:szCs w:val="20"/>
              </w:rPr>
              <w:t>Case fatality ratios (%)</w:t>
            </w:r>
          </w:p>
        </w:tc>
        <w:tc>
          <w:tcPr>
            <w:tcW w:w="1518" w:type="dxa"/>
            <w:tcBorders>
              <w:top w:val="single" w:sz="12" w:space="0" w:color="00000A"/>
              <w:left w:val="nil"/>
              <w:bottom w:val="single" w:sz="4" w:space="0" w:color="00000A"/>
              <w:right w:val="nil"/>
            </w:tcBorders>
            <w:shd w:val="clear" w:color="auto" w:fill="FFFFFF"/>
          </w:tcPr>
          <w:p w:rsidR="00227674" w:rsidRPr="007A3C9D" w:rsidRDefault="00227674" w:rsidP="00B9497C">
            <w:pPr>
              <w:spacing w:after="0" w:line="240" w:lineRule="auto"/>
              <w:rPr>
                <w:rFonts w:ascii="Times New Roman" w:hAnsi="Times New Roman" w:cs="Times New Roman"/>
                <w:b/>
                <w:sz w:val="16"/>
                <w:szCs w:val="20"/>
              </w:rPr>
            </w:pPr>
            <w:r w:rsidRPr="007A3C9D">
              <w:rPr>
                <w:rFonts w:ascii="Times New Roman" w:hAnsi="Times New Roman" w:cs="Times New Roman"/>
                <w:b/>
                <w:sz w:val="16"/>
                <w:szCs w:val="20"/>
              </w:rPr>
              <w:t>Average age of case fatality</w:t>
            </w:r>
          </w:p>
        </w:tc>
      </w:tr>
      <w:tr w:rsidR="00227674" w:rsidRPr="007A3C9D" w:rsidTr="00B9497C">
        <w:tc>
          <w:tcPr>
            <w:tcW w:w="1131" w:type="dxa"/>
            <w:tcBorders>
              <w:top w:val="single" w:sz="4" w:space="0" w:color="00000A"/>
              <w:left w:val="nil"/>
              <w:bottom w:val="nil"/>
              <w:right w:val="nil"/>
            </w:tcBorders>
            <w:shd w:val="clear" w:color="auto" w:fill="FFFFFF"/>
          </w:tcPr>
          <w:p w:rsidR="00227674" w:rsidRPr="007A3C9D" w:rsidRDefault="00227674" w:rsidP="00B9497C">
            <w:pPr>
              <w:spacing w:after="0" w:line="240" w:lineRule="auto"/>
              <w:rPr>
                <w:rFonts w:ascii="Times New Roman" w:hAnsi="Times New Roman" w:cs="Times New Roman"/>
                <w:sz w:val="16"/>
                <w:szCs w:val="20"/>
              </w:rPr>
            </w:pPr>
            <w:r w:rsidRPr="007A3C9D">
              <w:rPr>
                <w:rFonts w:ascii="Times New Roman" w:hAnsi="Times New Roman" w:cs="Times New Roman"/>
                <w:sz w:val="16"/>
                <w:szCs w:val="20"/>
              </w:rPr>
              <w:t>1889-92</w:t>
            </w:r>
          </w:p>
        </w:tc>
        <w:tc>
          <w:tcPr>
            <w:tcW w:w="1906" w:type="dxa"/>
            <w:tcBorders>
              <w:top w:val="single" w:sz="4" w:space="0" w:color="00000A"/>
              <w:left w:val="nil"/>
              <w:bottom w:val="nil"/>
              <w:right w:val="nil"/>
            </w:tcBorders>
            <w:shd w:val="clear" w:color="auto" w:fill="FFFFFF"/>
            <w:vAlign w:val="center"/>
          </w:tcPr>
          <w:p w:rsidR="00227674" w:rsidRPr="007A3C9D" w:rsidRDefault="00227674" w:rsidP="00B9497C">
            <w:pPr>
              <w:spacing w:after="0" w:line="240" w:lineRule="auto"/>
              <w:jc w:val="center"/>
              <w:rPr>
                <w:rFonts w:ascii="Times New Roman" w:hAnsi="Times New Roman" w:cs="Times New Roman"/>
                <w:sz w:val="16"/>
                <w:szCs w:val="20"/>
              </w:rPr>
            </w:pPr>
            <w:r w:rsidRPr="007A3C9D">
              <w:rPr>
                <w:rFonts w:ascii="Times New Roman" w:hAnsi="Times New Roman" w:cs="Times New Roman"/>
                <w:sz w:val="16"/>
                <w:szCs w:val="20"/>
              </w:rPr>
              <w:t>Asiatic or Russian Flu</w:t>
            </w:r>
          </w:p>
        </w:tc>
        <w:tc>
          <w:tcPr>
            <w:tcW w:w="2060" w:type="dxa"/>
            <w:tcBorders>
              <w:top w:val="single" w:sz="4" w:space="0" w:color="00000A"/>
              <w:left w:val="nil"/>
              <w:bottom w:val="nil"/>
              <w:right w:val="nil"/>
            </w:tcBorders>
            <w:shd w:val="clear" w:color="auto" w:fill="FFFFFF"/>
            <w:vAlign w:val="center"/>
          </w:tcPr>
          <w:p w:rsidR="00227674" w:rsidRPr="007A3C9D" w:rsidRDefault="00227674" w:rsidP="00B9497C">
            <w:pPr>
              <w:spacing w:after="0" w:line="240" w:lineRule="auto"/>
              <w:jc w:val="center"/>
              <w:rPr>
                <w:rFonts w:ascii="Times New Roman" w:hAnsi="Times New Roman" w:cs="Times New Roman"/>
                <w:sz w:val="16"/>
                <w:szCs w:val="20"/>
              </w:rPr>
            </w:pPr>
            <w:r w:rsidRPr="007A3C9D">
              <w:rPr>
                <w:rFonts w:ascii="Times New Roman" w:hAnsi="Times New Roman" w:cs="Times New Roman"/>
                <w:sz w:val="16"/>
                <w:szCs w:val="20"/>
              </w:rPr>
              <w:t>Russia -&gt; ROW</w:t>
            </w:r>
          </w:p>
        </w:tc>
        <w:tc>
          <w:tcPr>
            <w:tcW w:w="1218" w:type="dxa"/>
            <w:tcBorders>
              <w:top w:val="single" w:sz="4" w:space="0" w:color="00000A"/>
              <w:left w:val="nil"/>
              <w:bottom w:val="nil"/>
              <w:right w:val="nil"/>
            </w:tcBorders>
            <w:shd w:val="clear" w:color="auto" w:fill="FFFFFF"/>
            <w:vAlign w:val="center"/>
          </w:tcPr>
          <w:p w:rsidR="00227674" w:rsidRPr="007A3C9D" w:rsidRDefault="00227674" w:rsidP="00B9497C">
            <w:pPr>
              <w:spacing w:after="0" w:line="240" w:lineRule="auto"/>
              <w:jc w:val="center"/>
              <w:rPr>
                <w:rFonts w:ascii="Times New Roman" w:hAnsi="Times New Roman" w:cs="Times New Roman"/>
                <w:sz w:val="16"/>
                <w:szCs w:val="20"/>
                <w:vertAlign w:val="superscript"/>
              </w:rPr>
            </w:pPr>
            <w:r w:rsidRPr="007A3C9D">
              <w:rPr>
                <w:rFonts w:ascii="Times New Roman" w:hAnsi="Times New Roman" w:cs="Times New Roman"/>
                <w:sz w:val="16"/>
                <w:szCs w:val="20"/>
              </w:rPr>
              <w:t>60</w:t>
            </w:r>
            <w:r w:rsidRPr="007A3C9D">
              <w:rPr>
                <w:rFonts w:ascii="Times New Roman" w:hAnsi="Times New Roman" w:cs="Times New Roman"/>
                <w:sz w:val="16"/>
                <w:szCs w:val="20"/>
                <w:vertAlign w:val="superscript"/>
              </w:rPr>
              <w:t>a</w:t>
            </w:r>
          </w:p>
        </w:tc>
        <w:tc>
          <w:tcPr>
            <w:tcW w:w="1189" w:type="dxa"/>
            <w:tcBorders>
              <w:top w:val="single" w:sz="4" w:space="0" w:color="00000A"/>
              <w:left w:val="nil"/>
              <w:bottom w:val="nil"/>
              <w:right w:val="nil"/>
            </w:tcBorders>
            <w:shd w:val="clear" w:color="auto" w:fill="FFFFFF"/>
            <w:vAlign w:val="center"/>
          </w:tcPr>
          <w:p w:rsidR="00227674" w:rsidRPr="007A3C9D" w:rsidRDefault="00227674" w:rsidP="00B9497C">
            <w:pPr>
              <w:spacing w:after="0" w:line="240" w:lineRule="auto"/>
              <w:jc w:val="center"/>
              <w:rPr>
                <w:rFonts w:ascii="Times New Roman" w:hAnsi="Times New Roman" w:cs="Times New Roman"/>
                <w:sz w:val="16"/>
                <w:szCs w:val="20"/>
              </w:rPr>
            </w:pPr>
            <w:r w:rsidRPr="007A3C9D">
              <w:rPr>
                <w:rFonts w:ascii="Times New Roman" w:hAnsi="Times New Roman" w:cs="Times New Roman"/>
                <w:sz w:val="16"/>
                <w:szCs w:val="20"/>
              </w:rPr>
              <w:t>0.28</w:t>
            </w:r>
          </w:p>
        </w:tc>
        <w:tc>
          <w:tcPr>
            <w:tcW w:w="1518" w:type="dxa"/>
            <w:tcBorders>
              <w:top w:val="single" w:sz="4" w:space="0" w:color="00000A"/>
              <w:left w:val="nil"/>
              <w:bottom w:val="nil"/>
              <w:right w:val="nil"/>
            </w:tcBorders>
            <w:shd w:val="clear" w:color="auto" w:fill="FFFFFF"/>
            <w:vAlign w:val="center"/>
          </w:tcPr>
          <w:p w:rsidR="00227674" w:rsidRPr="007A3C9D" w:rsidRDefault="00227674" w:rsidP="00B9497C">
            <w:pPr>
              <w:spacing w:after="0" w:line="240" w:lineRule="auto"/>
              <w:jc w:val="center"/>
              <w:rPr>
                <w:rFonts w:ascii="Times New Roman" w:hAnsi="Times New Roman" w:cs="Times New Roman"/>
                <w:sz w:val="16"/>
                <w:szCs w:val="20"/>
              </w:rPr>
            </w:pPr>
            <w:r w:rsidRPr="007A3C9D">
              <w:rPr>
                <w:rFonts w:ascii="Times New Roman" w:hAnsi="Times New Roman" w:cs="Times New Roman"/>
                <w:sz w:val="16"/>
                <w:szCs w:val="20"/>
              </w:rPr>
              <w:t>-</w:t>
            </w:r>
          </w:p>
        </w:tc>
      </w:tr>
      <w:tr w:rsidR="00227674" w:rsidRPr="007A3C9D" w:rsidTr="00B9497C">
        <w:tc>
          <w:tcPr>
            <w:tcW w:w="1131" w:type="dxa"/>
            <w:tcBorders>
              <w:top w:val="nil"/>
              <w:left w:val="nil"/>
              <w:bottom w:val="nil"/>
              <w:right w:val="nil"/>
            </w:tcBorders>
            <w:shd w:val="clear" w:color="auto" w:fill="FFFFFF"/>
          </w:tcPr>
          <w:p w:rsidR="00227674" w:rsidRPr="007A3C9D" w:rsidRDefault="00227674" w:rsidP="00B9497C">
            <w:pPr>
              <w:spacing w:after="0" w:line="240" w:lineRule="auto"/>
              <w:rPr>
                <w:rFonts w:ascii="Times New Roman" w:hAnsi="Times New Roman" w:cs="Times New Roman"/>
                <w:sz w:val="16"/>
                <w:szCs w:val="20"/>
              </w:rPr>
            </w:pPr>
            <w:r w:rsidRPr="007A3C9D">
              <w:rPr>
                <w:rFonts w:ascii="Times New Roman" w:hAnsi="Times New Roman" w:cs="Times New Roman"/>
                <w:sz w:val="16"/>
                <w:szCs w:val="20"/>
              </w:rPr>
              <w:t>1918</w:t>
            </w:r>
          </w:p>
        </w:tc>
        <w:tc>
          <w:tcPr>
            <w:tcW w:w="1906" w:type="dxa"/>
            <w:tcBorders>
              <w:top w:val="nil"/>
              <w:left w:val="nil"/>
              <w:bottom w:val="nil"/>
              <w:right w:val="nil"/>
            </w:tcBorders>
            <w:shd w:val="clear" w:color="auto" w:fill="FFFFFF"/>
            <w:vAlign w:val="center"/>
          </w:tcPr>
          <w:p w:rsidR="00227674" w:rsidRPr="007A3C9D" w:rsidRDefault="00227674" w:rsidP="00B9497C">
            <w:pPr>
              <w:spacing w:after="0" w:line="240" w:lineRule="auto"/>
              <w:jc w:val="center"/>
              <w:rPr>
                <w:rFonts w:ascii="Times New Roman" w:hAnsi="Times New Roman" w:cs="Times New Roman"/>
                <w:sz w:val="16"/>
                <w:szCs w:val="20"/>
              </w:rPr>
            </w:pPr>
            <w:r w:rsidRPr="007A3C9D">
              <w:rPr>
                <w:rFonts w:ascii="Times New Roman" w:hAnsi="Times New Roman" w:cs="Times New Roman"/>
                <w:sz w:val="16"/>
                <w:szCs w:val="20"/>
              </w:rPr>
              <w:t>Spanish flu</w:t>
            </w:r>
          </w:p>
        </w:tc>
        <w:tc>
          <w:tcPr>
            <w:tcW w:w="2060" w:type="dxa"/>
            <w:tcBorders>
              <w:top w:val="nil"/>
              <w:left w:val="nil"/>
              <w:bottom w:val="nil"/>
              <w:right w:val="nil"/>
            </w:tcBorders>
            <w:shd w:val="clear" w:color="auto" w:fill="FFFFFF"/>
            <w:vAlign w:val="center"/>
          </w:tcPr>
          <w:p w:rsidR="00227674" w:rsidRPr="007A3C9D" w:rsidRDefault="00227674" w:rsidP="00B9497C">
            <w:pPr>
              <w:spacing w:after="0" w:line="240" w:lineRule="auto"/>
              <w:jc w:val="center"/>
              <w:rPr>
                <w:rFonts w:ascii="Times New Roman" w:hAnsi="Times New Roman" w:cs="Times New Roman"/>
                <w:sz w:val="16"/>
                <w:szCs w:val="20"/>
              </w:rPr>
            </w:pPr>
            <w:r w:rsidRPr="007A3C9D">
              <w:rPr>
                <w:rFonts w:ascii="Times New Roman" w:hAnsi="Times New Roman" w:cs="Times New Roman"/>
                <w:sz w:val="16"/>
                <w:szCs w:val="20"/>
              </w:rPr>
              <w:t>Unknown</w:t>
            </w:r>
          </w:p>
        </w:tc>
        <w:tc>
          <w:tcPr>
            <w:tcW w:w="1218" w:type="dxa"/>
            <w:tcBorders>
              <w:top w:val="nil"/>
              <w:left w:val="nil"/>
              <w:bottom w:val="nil"/>
              <w:right w:val="nil"/>
            </w:tcBorders>
            <w:shd w:val="clear" w:color="auto" w:fill="FFFFFF"/>
            <w:vAlign w:val="center"/>
          </w:tcPr>
          <w:p w:rsidR="00227674" w:rsidRPr="007A3C9D" w:rsidRDefault="00227674" w:rsidP="00B9497C">
            <w:pPr>
              <w:spacing w:after="0" w:line="240" w:lineRule="auto"/>
              <w:jc w:val="center"/>
              <w:rPr>
                <w:rFonts w:ascii="Times New Roman" w:hAnsi="Times New Roman" w:cs="Times New Roman"/>
                <w:sz w:val="16"/>
                <w:szCs w:val="20"/>
              </w:rPr>
            </w:pPr>
            <w:r w:rsidRPr="007A3C9D">
              <w:rPr>
                <w:rFonts w:ascii="Times New Roman" w:hAnsi="Times New Roman" w:cs="Times New Roman"/>
                <w:sz w:val="16"/>
                <w:szCs w:val="20"/>
              </w:rPr>
              <w:t>25</w:t>
            </w:r>
          </w:p>
        </w:tc>
        <w:tc>
          <w:tcPr>
            <w:tcW w:w="1189" w:type="dxa"/>
            <w:tcBorders>
              <w:top w:val="nil"/>
              <w:left w:val="nil"/>
              <w:bottom w:val="nil"/>
              <w:right w:val="nil"/>
            </w:tcBorders>
            <w:shd w:val="clear" w:color="auto" w:fill="FFFFFF"/>
            <w:vAlign w:val="center"/>
          </w:tcPr>
          <w:p w:rsidR="00227674" w:rsidRPr="007A3C9D" w:rsidRDefault="00227674" w:rsidP="00B9497C">
            <w:pPr>
              <w:spacing w:after="0" w:line="240" w:lineRule="auto"/>
              <w:jc w:val="center"/>
              <w:rPr>
                <w:rFonts w:ascii="Times New Roman" w:hAnsi="Times New Roman" w:cs="Times New Roman"/>
                <w:sz w:val="16"/>
                <w:szCs w:val="20"/>
              </w:rPr>
            </w:pPr>
            <w:r w:rsidRPr="007A3C9D">
              <w:rPr>
                <w:rFonts w:ascii="Times New Roman" w:hAnsi="Times New Roman" w:cs="Times New Roman"/>
                <w:sz w:val="16"/>
                <w:szCs w:val="20"/>
              </w:rPr>
              <w:t>2.5</w:t>
            </w:r>
          </w:p>
        </w:tc>
        <w:tc>
          <w:tcPr>
            <w:tcW w:w="1518" w:type="dxa"/>
            <w:tcBorders>
              <w:top w:val="nil"/>
              <w:left w:val="nil"/>
              <w:bottom w:val="nil"/>
              <w:right w:val="nil"/>
            </w:tcBorders>
            <w:shd w:val="clear" w:color="auto" w:fill="FFFFFF"/>
            <w:vAlign w:val="center"/>
          </w:tcPr>
          <w:p w:rsidR="00227674" w:rsidRPr="007A3C9D" w:rsidRDefault="00227674" w:rsidP="00B9497C">
            <w:pPr>
              <w:spacing w:after="0" w:line="240" w:lineRule="auto"/>
              <w:jc w:val="center"/>
              <w:rPr>
                <w:rFonts w:ascii="Times New Roman" w:hAnsi="Times New Roman" w:cs="Times New Roman"/>
                <w:sz w:val="16"/>
                <w:szCs w:val="20"/>
              </w:rPr>
            </w:pPr>
            <w:r w:rsidRPr="007A3C9D">
              <w:rPr>
                <w:rFonts w:ascii="Times New Roman" w:hAnsi="Times New Roman" w:cs="Times New Roman"/>
                <w:sz w:val="16"/>
                <w:szCs w:val="20"/>
              </w:rPr>
              <w:t>27</w:t>
            </w:r>
          </w:p>
        </w:tc>
      </w:tr>
      <w:tr w:rsidR="00227674" w:rsidRPr="007A3C9D" w:rsidTr="00B9497C">
        <w:tc>
          <w:tcPr>
            <w:tcW w:w="1131" w:type="dxa"/>
            <w:tcBorders>
              <w:top w:val="nil"/>
              <w:left w:val="nil"/>
              <w:bottom w:val="nil"/>
              <w:right w:val="nil"/>
            </w:tcBorders>
            <w:shd w:val="clear" w:color="auto" w:fill="FFFFFF"/>
          </w:tcPr>
          <w:p w:rsidR="00227674" w:rsidRPr="007A3C9D" w:rsidRDefault="00227674" w:rsidP="00B9497C">
            <w:pPr>
              <w:spacing w:after="0" w:line="240" w:lineRule="auto"/>
              <w:rPr>
                <w:rFonts w:ascii="Times New Roman" w:hAnsi="Times New Roman" w:cs="Times New Roman"/>
                <w:sz w:val="16"/>
                <w:szCs w:val="20"/>
              </w:rPr>
            </w:pPr>
            <w:r w:rsidRPr="007A3C9D">
              <w:rPr>
                <w:rFonts w:ascii="Times New Roman" w:hAnsi="Times New Roman" w:cs="Times New Roman"/>
                <w:sz w:val="16"/>
                <w:szCs w:val="20"/>
              </w:rPr>
              <w:t>1957</w:t>
            </w:r>
          </w:p>
        </w:tc>
        <w:tc>
          <w:tcPr>
            <w:tcW w:w="1906" w:type="dxa"/>
            <w:tcBorders>
              <w:top w:val="nil"/>
              <w:left w:val="nil"/>
              <w:bottom w:val="nil"/>
              <w:right w:val="nil"/>
            </w:tcBorders>
            <w:shd w:val="clear" w:color="auto" w:fill="FFFFFF"/>
            <w:vAlign w:val="center"/>
          </w:tcPr>
          <w:p w:rsidR="00227674" w:rsidRPr="007A3C9D" w:rsidRDefault="00227674" w:rsidP="00B9497C">
            <w:pPr>
              <w:spacing w:after="0" w:line="240" w:lineRule="auto"/>
              <w:jc w:val="center"/>
              <w:rPr>
                <w:rFonts w:ascii="Times New Roman" w:hAnsi="Times New Roman" w:cs="Times New Roman"/>
                <w:sz w:val="16"/>
                <w:szCs w:val="20"/>
              </w:rPr>
            </w:pPr>
            <w:r w:rsidRPr="007A3C9D">
              <w:rPr>
                <w:rFonts w:ascii="Times New Roman" w:hAnsi="Times New Roman" w:cs="Times New Roman"/>
                <w:sz w:val="16"/>
                <w:szCs w:val="20"/>
              </w:rPr>
              <w:t>Asian flu</w:t>
            </w:r>
          </w:p>
        </w:tc>
        <w:tc>
          <w:tcPr>
            <w:tcW w:w="2060" w:type="dxa"/>
            <w:tcBorders>
              <w:top w:val="nil"/>
              <w:left w:val="nil"/>
              <w:bottom w:val="nil"/>
              <w:right w:val="nil"/>
            </w:tcBorders>
            <w:shd w:val="clear" w:color="auto" w:fill="FFFFFF"/>
            <w:vAlign w:val="center"/>
          </w:tcPr>
          <w:p w:rsidR="00227674" w:rsidRPr="007A3C9D" w:rsidRDefault="00227674" w:rsidP="00B9497C">
            <w:pPr>
              <w:spacing w:after="0" w:line="240" w:lineRule="auto"/>
              <w:jc w:val="center"/>
              <w:rPr>
                <w:rFonts w:ascii="Times New Roman" w:hAnsi="Times New Roman" w:cs="Times New Roman"/>
                <w:sz w:val="16"/>
                <w:szCs w:val="20"/>
              </w:rPr>
            </w:pPr>
            <w:r w:rsidRPr="007A3C9D">
              <w:rPr>
                <w:rFonts w:ascii="Times New Roman" w:hAnsi="Times New Roman" w:cs="Times New Roman"/>
                <w:sz w:val="16"/>
                <w:szCs w:val="20"/>
              </w:rPr>
              <w:t>China -&gt; ROW</w:t>
            </w:r>
          </w:p>
        </w:tc>
        <w:tc>
          <w:tcPr>
            <w:tcW w:w="1218" w:type="dxa"/>
            <w:tcBorders>
              <w:top w:val="nil"/>
              <w:left w:val="nil"/>
              <w:bottom w:val="nil"/>
              <w:right w:val="nil"/>
            </w:tcBorders>
            <w:shd w:val="clear" w:color="auto" w:fill="FFFFFF"/>
            <w:vAlign w:val="center"/>
          </w:tcPr>
          <w:p w:rsidR="00227674" w:rsidRPr="007A3C9D" w:rsidRDefault="00227674" w:rsidP="00B9497C">
            <w:pPr>
              <w:spacing w:after="0" w:line="240" w:lineRule="auto"/>
              <w:jc w:val="center"/>
              <w:rPr>
                <w:rFonts w:ascii="Times New Roman" w:hAnsi="Times New Roman" w:cs="Times New Roman"/>
                <w:sz w:val="16"/>
                <w:szCs w:val="20"/>
              </w:rPr>
            </w:pPr>
            <w:r w:rsidRPr="007A3C9D">
              <w:rPr>
                <w:rFonts w:ascii="Times New Roman" w:hAnsi="Times New Roman" w:cs="Times New Roman"/>
                <w:sz w:val="16"/>
                <w:szCs w:val="20"/>
              </w:rPr>
              <w:t>30</w:t>
            </w:r>
          </w:p>
        </w:tc>
        <w:tc>
          <w:tcPr>
            <w:tcW w:w="1189" w:type="dxa"/>
            <w:tcBorders>
              <w:top w:val="nil"/>
              <w:left w:val="nil"/>
              <w:bottom w:val="nil"/>
              <w:right w:val="nil"/>
            </w:tcBorders>
            <w:shd w:val="clear" w:color="auto" w:fill="FFFFFF"/>
            <w:vAlign w:val="center"/>
          </w:tcPr>
          <w:p w:rsidR="00227674" w:rsidRPr="007A3C9D" w:rsidRDefault="00227674" w:rsidP="00B9497C">
            <w:pPr>
              <w:spacing w:after="0" w:line="240" w:lineRule="auto"/>
              <w:jc w:val="center"/>
              <w:rPr>
                <w:rFonts w:ascii="Times New Roman" w:hAnsi="Times New Roman" w:cs="Times New Roman"/>
                <w:sz w:val="16"/>
                <w:szCs w:val="20"/>
              </w:rPr>
            </w:pPr>
            <w:r w:rsidRPr="007A3C9D">
              <w:rPr>
                <w:rFonts w:ascii="Times New Roman" w:hAnsi="Times New Roman" w:cs="Times New Roman"/>
                <w:sz w:val="16"/>
                <w:szCs w:val="20"/>
              </w:rPr>
              <w:t>0.4</w:t>
            </w:r>
          </w:p>
        </w:tc>
        <w:tc>
          <w:tcPr>
            <w:tcW w:w="1518" w:type="dxa"/>
            <w:tcBorders>
              <w:top w:val="nil"/>
              <w:left w:val="nil"/>
              <w:bottom w:val="nil"/>
              <w:right w:val="nil"/>
            </w:tcBorders>
            <w:shd w:val="clear" w:color="auto" w:fill="FFFFFF"/>
            <w:vAlign w:val="center"/>
          </w:tcPr>
          <w:p w:rsidR="00227674" w:rsidRPr="007A3C9D" w:rsidRDefault="00227674" w:rsidP="00B9497C">
            <w:pPr>
              <w:spacing w:after="0" w:line="240" w:lineRule="auto"/>
              <w:jc w:val="center"/>
              <w:rPr>
                <w:rFonts w:ascii="Times New Roman" w:hAnsi="Times New Roman" w:cs="Times New Roman"/>
                <w:sz w:val="16"/>
                <w:szCs w:val="20"/>
              </w:rPr>
            </w:pPr>
            <w:r w:rsidRPr="007A3C9D">
              <w:rPr>
                <w:rFonts w:ascii="Times New Roman" w:hAnsi="Times New Roman" w:cs="Times New Roman"/>
                <w:sz w:val="16"/>
                <w:szCs w:val="20"/>
              </w:rPr>
              <w:t>65</w:t>
            </w:r>
          </w:p>
        </w:tc>
      </w:tr>
      <w:tr w:rsidR="00227674" w:rsidRPr="007A3C9D" w:rsidTr="00B9497C">
        <w:tc>
          <w:tcPr>
            <w:tcW w:w="1131" w:type="dxa"/>
            <w:tcBorders>
              <w:top w:val="nil"/>
              <w:left w:val="nil"/>
              <w:bottom w:val="nil"/>
              <w:right w:val="nil"/>
            </w:tcBorders>
            <w:shd w:val="clear" w:color="auto" w:fill="FFFFFF"/>
          </w:tcPr>
          <w:p w:rsidR="00227674" w:rsidRPr="007A3C9D" w:rsidRDefault="00227674" w:rsidP="00B9497C">
            <w:pPr>
              <w:spacing w:after="0" w:line="240" w:lineRule="auto"/>
              <w:rPr>
                <w:rFonts w:ascii="Times New Roman" w:hAnsi="Times New Roman" w:cs="Times New Roman"/>
                <w:sz w:val="16"/>
                <w:szCs w:val="20"/>
              </w:rPr>
            </w:pPr>
            <w:r w:rsidRPr="007A3C9D">
              <w:rPr>
                <w:rFonts w:ascii="Times New Roman" w:hAnsi="Times New Roman" w:cs="Times New Roman"/>
                <w:sz w:val="16"/>
                <w:szCs w:val="20"/>
              </w:rPr>
              <w:t>1968</w:t>
            </w:r>
          </w:p>
        </w:tc>
        <w:tc>
          <w:tcPr>
            <w:tcW w:w="1906" w:type="dxa"/>
            <w:tcBorders>
              <w:top w:val="nil"/>
              <w:left w:val="nil"/>
              <w:bottom w:val="nil"/>
              <w:right w:val="nil"/>
            </w:tcBorders>
            <w:shd w:val="clear" w:color="auto" w:fill="FFFFFF"/>
            <w:vAlign w:val="center"/>
          </w:tcPr>
          <w:p w:rsidR="00227674" w:rsidRPr="007A3C9D" w:rsidRDefault="00227674" w:rsidP="00B9497C">
            <w:pPr>
              <w:spacing w:after="0" w:line="240" w:lineRule="auto"/>
              <w:jc w:val="center"/>
              <w:rPr>
                <w:rFonts w:ascii="Times New Roman" w:hAnsi="Times New Roman" w:cs="Times New Roman"/>
                <w:sz w:val="16"/>
                <w:szCs w:val="20"/>
              </w:rPr>
            </w:pPr>
            <w:r w:rsidRPr="007A3C9D">
              <w:rPr>
                <w:rFonts w:ascii="Times New Roman" w:hAnsi="Times New Roman" w:cs="Times New Roman"/>
                <w:sz w:val="16"/>
                <w:szCs w:val="20"/>
              </w:rPr>
              <w:t>Hong Kong flu</w:t>
            </w:r>
          </w:p>
        </w:tc>
        <w:tc>
          <w:tcPr>
            <w:tcW w:w="2060" w:type="dxa"/>
            <w:tcBorders>
              <w:top w:val="nil"/>
              <w:left w:val="nil"/>
              <w:bottom w:val="nil"/>
              <w:right w:val="nil"/>
            </w:tcBorders>
            <w:shd w:val="clear" w:color="auto" w:fill="FFFFFF"/>
            <w:vAlign w:val="center"/>
          </w:tcPr>
          <w:p w:rsidR="00227674" w:rsidRPr="007A3C9D" w:rsidRDefault="00227674" w:rsidP="00B9497C">
            <w:pPr>
              <w:spacing w:after="0" w:line="240" w:lineRule="auto"/>
              <w:jc w:val="center"/>
              <w:rPr>
                <w:rFonts w:ascii="Times New Roman" w:hAnsi="Times New Roman" w:cs="Times New Roman"/>
                <w:sz w:val="16"/>
                <w:szCs w:val="20"/>
              </w:rPr>
            </w:pPr>
            <w:r w:rsidRPr="007A3C9D">
              <w:rPr>
                <w:rFonts w:ascii="Times New Roman" w:hAnsi="Times New Roman" w:cs="Times New Roman"/>
                <w:sz w:val="16"/>
                <w:szCs w:val="20"/>
              </w:rPr>
              <w:t>China -&gt; ROW</w:t>
            </w:r>
          </w:p>
        </w:tc>
        <w:tc>
          <w:tcPr>
            <w:tcW w:w="1218" w:type="dxa"/>
            <w:tcBorders>
              <w:top w:val="nil"/>
              <w:left w:val="nil"/>
              <w:bottom w:val="nil"/>
              <w:right w:val="nil"/>
            </w:tcBorders>
            <w:shd w:val="clear" w:color="auto" w:fill="FFFFFF"/>
            <w:vAlign w:val="center"/>
          </w:tcPr>
          <w:p w:rsidR="00227674" w:rsidRPr="007A3C9D" w:rsidRDefault="00227674" w:rsidP="00B9497C">
            <w:pPr>
              <w:spacing w:after="0" w:line="240" w:lineRule="auto"/>
              <w:jc w:val="center"/>
              <w:rPr>
                <w:rFonts w:ascii="Times New Roman" w:hAnsi="Times New Roman" w:cs="Times New Roman"/>
                <w:sz w:val="16"/>
                <w:szCs w:val="20"/>
              </w:rPr>
            </w:pPr>
            <w:r w:rsidRPr="007A3C9D">
              <w:rPr>
                <w:rFonts w:ascii="Times New Roman" w:hAnsi="Times New Roman" w:cs="Times New Roman"/>
                <w:sz w:val="16"/>
                <w:szCs w:val="20"/>
              </w:rPr>
              <w:t>35</w:t>
            </w:r>
          </w:p>
        </w:tc>
        <w:tc>
          <w:tcPr>
            <w:tcW w:w="1189" w:type="dxa"/>
            <w:tcBorders>
              <w:top w:val="nil"/>
              <w:left w:val="nil"/>
              <w:bottom w:val="nil"/>
              <w:right w:val="nil"/>
            </w:tcBorders>
            <w:shd w:val="clear" w:color="auto" w:fill="FFFFFF"/>
            <w:vAlign w:val="center"/>
          </w:tcPr>
          <w:p w:rsidR="00227674" w:rsidRPr="007A3C9D" w:rsidRDefault="00227674" w:rsidP="00B9497C">
            <w:pPr>
              <w:spacing w:after="0" w:line="240" w:lineRule="auto"/>
              <w:jc w:val="center"/>
              <w:rPr>
                <w:rFonts w:ascii="Times New Roman" w:hAnsi="Times New Roman" w:cs="Times New Roman"/>
                <w:sz w:val="16"/>
                <w:szCs w:val="20"/>
              </w:rPr>
            </w:pPr>
            <w:r w:rsidRPr="007A3C9D">
              <w:rPr>
                <w:rFonts w:ascii="Times New Roman" w:hAnsi="Times New Roman" w:cs="Times New Roman"/>
                <w:sz w:val="16"/>
                <w:szCs w:val="20"/>
              </w:rPr>
              <w:t>0.4</w:t>
            </w:r>
          </w:p>
        </w:tc>
        <w:tc>
          <w:tcPr>
            <w:tcW w:w="1518" w:type="dxa"/>
            <w:tcBorders>
              <w:top w:val="nil"/>
              <w:left w:val="nil"/>
              <w:bottom w:val="nil"/>
              <w:right w:val="nil"/>
            </w:tcBorders>
            <w:shd w:val="clear" w:color="auto" w:fill="FFFFFF"/>
            <w:vAlign w:val="center"/>
          </w:tcPr>
          <w:p w:rsidR="00227674" w:rsidRPr="007A3C9D" w:rsidRDefault="00227674" w:rsidP="00B9497C">
            <w:pPr>
              <w:spacing w:after="0" w:line="240" w:lineRule="auto"/>
              <w:jc w:val="center"/>
              <w:rPr>
                <w:rFonts w:ascii="Times New Roman" w:hAnsi="Times New Roman" w:cs="Times New Roman"/>
                <w:sz w:val="16"/>
                <w:szCs w:val="20"/>
              </w:rPr>
            </w:pPr>
            <w:r w:rsidRPr="007A3C9D">
              <w:rPr>
                <w:rFonts w:ascii="Times New Roman" w:hAnsi="Times New Roman" w:cs="Times New Roman"/>
                <w:sz w:val="16"/>
                <w:szCs w:val="20"/>
              </w:rPr>
              <w:t>62</w:t>
            </w:r>
          </w:p>
        </w:tc>
      </w:tr>
      <w:tr w:rsidR="00227674" w:rsidRPr="007A3C9D" w:rsidTr="00B9497C">
        <w:tc>
          <w:tcPr>
            <w:tcW w:w="1131" w:type="dxa"/>
            <w:tcBorders>
              <w:top w:val="nil"/>
              <w:left w:val="nil"/>
              <w:bottom w:val="single" w:sz="12" w:space="0" w:color="00000A"/>
              <w:right w:val="nil"/>
            </w:tcBorders>
            <w:shd w:val="clear" w:color="auto" w:fill="FFFFFF"/>
          </w:tcPr>
          <w:p w:rsidR="00227674" w:rsidRPr="007A3C9D" w:rsidRDefault="00227674" w:rsidP="00B9497C">
            <w:pPr>
              <w:spacing w:after="0" w:line="240" w:lineRule="auto"/>
              <w:rPr>
                <w:rFonts w:ascii="Times New Roman" w:hAnsi="Times New Roman" w:cs="Times New Roman"/>
                <w:sz w:val="16"/>
                <w:szCs w:val="20"/>
              </w:rPr>
            </w:pPr>
            <w:r w:rsidRPr="007A3C9D">
              <w:rPr>
                <w:rFonts w:ascii="Times New Roman" w:hAnsi="Times New Roman" w:cs="Times New Roman"/>
                <w:sz w:val="16"/>
                <w:szCs w:val="20"/>
              </w:rPr>
              <w:t>2009</w:t>
            </w:r>
          </w:p>
        </w:tc>
        <w:tc>
          <w:tcPr>
            <w:tcW w:w="1906" w:type="dxa"/>
            <w:tcBorders>
              <w:top w:val="nil"/>
              <w:left w:val="nil"/>
              <w:bottom w:val="single" w:sz="12" w:space="0" w:color="00000A"/>
              <w:right w:val="nil"/>
            </w:tcBorders>
            <w:shd w:val="clear" w:color="auto" w:fill="FFFFFF"/>
            <w:vAlign w:val="center"/>
          </w:tcPr>
          <w:p w:rsidR="00227674" w:rsidRPr="007A3C9D" w:rsidRDefault="00227674" w:rsidP="00B9497C">
            <w:pPr>
              <w:spacing w:after="0" w:line="240" w:lineRule="auto"/>
              <w:jc w:val="center"/>
              <w:rPr>
                <w:rFonts w:ascii="Times New Roman" w:hAnsi="Times New Roman" w:cs="Times New Roman"/>
                <w:sz w:val="16"/>
                <w:szCs w:val="20"/>
              </w:rPr>
            </w:pPr>
            <w:r w:rsidRPr="007A3C9D">
              <w:rPr>
                <w:rFonts w:ascii="Times New Roman" w:hAnsi="Times New Roman" w:cs="Times New Roman"/>
                <w:sz w:val="16"/>
                <w:szCs w:val="20"/>
              </w:rPr>
              <w:t>2009 flu pandemic</w:t>
            </w:r>
          </w:p>
        </w:tc>
        <w:tc>
          <w:tcPr>
            <w:tcW w:w="2060" w:type="dxa"/>
            <w:tcBorders>
              <w:top w:val="nil"/>
              <w:left w:val="nil"/>
              <w:bottom w:val="single" w:sz="12" w:space="0" w:color="00000A"/>
              <w:right w:val="nil"/>
            </w:tcBorders>
            <w:shd w:val="clear" w:color="auto" w:fill="FFFFFF"/>
            <w:vAlign w:val="center"/>
          </w:tcPr>
          <w:p w:rsidR="00227674" w:rsidRPr="007A3C9D" w:rsidRDefault="00227674" w:rsidP="00B9497C">
            <w:pPr>
              <w:spacing w:after="0" w:line="240" w:lineRule="auto"/>
              <w:jc w:val="center"/>
              <w:rPr>
                <w:rFonts w:ascii="Times New Roman" w:hAnsi="Times New Roman" w:cs="Times New Roman"/>
                <w:sz w:val="16"/>
                <w:szCs w:val="20"/>
              </w:rPr>
            </w:pPr>
            <w:r w:rsidRPr="007A3C9D">
              <w:rPr>
                <w:rFonts w:ascii="Times New Roman" w:hAnsi="Times New Roman" w:cs="Times New Roman"/>
                <w:sz w:val="16"/>
                <w:szCs w:val="20"/>
              </w:rPr>
              <w:t>Mexico/USA -&gt; ROW</w:t>
            </w:r>
          </w:p>
        </w:tc>
        <w:tc>
          <w:tcPr>
            <w:tcW w:w="1218" w:type="dxa"/>
            <w:tcBorders>
              <w:top w:val="nil"/>
              <w:left w:val="nil"/>
              <w:bottom w:val="single" w:sz="12" w:space="0" w:color="00000A"/>
              <w:right w:val="nil"/>
            </w:tcBorders>
            <w:shd w:val="clear" w:color="auto" w:fill="FFFFFF"/>
            <w:vAlign w:val="center"/>
          </w:tcPr>
          <w:p w:rsidR="00227674" w:rsidRPr="007A3C9D" w:rsidRDefault="00227674" w:rsidP="00B9497C">
            <w:pPr>
              <w:spacing w:after="0" w:line="240" w:lineRule="auto"/>
              <w:jc w:val="center"/>
              <w:rPr>
                <w:rFonts w:ascii="Times New Roman" w:hAnsi="Times New Roman" w:cs="Times New Roman"/>
                <w:sz w:val="16"/>
                <w:szCs w:val="20"/>
              </w:rPr>
            </w:pPr>
            <w:r w:rsidRPr="007A3C9D">
              <w:rPr>
                <w:rFonts w:ascii="Times New Roman" w:hAnsi="Times New Roman" w:cs="Times New Roman"/>
                <w:sz w:val="16"/>
                <w:szCs w:val="20"/>
              </w:rPr>
              <w:t>7</w:t>
            </w:r>
          </w:p>
        </w:tc>
        <w:tc>
          <w:tcPr>
            <w:tcW w:w="1189" w:type="dxa"/>
            <w:tcBorders>
              <w:top w:val="nil"/>
              <w:left w:val="nil"/>
              <w:bottom w:val="single" w:sz="12" w:space="0" w:color="00000A"/>
              <w:right w:val="nil"/>
            </w:tcBorders>
            <w:shd w:val="clear" w:color="auto" w:fill="FFFFFF"/>
            <w:vAlign w:val="center"/>
          </w:tcPr>
          <w:p w:rsidR="00227674" w:rsidRPr="007A3C9D" w:rsidRDefault="00227674" w:rsidP="00B9497C">
            <w:pPr>
              <w:spacing w:after="0" w:line="240" w:lineRule="auto"/>
              <w:jc w:val="center"/>
              <w:rPr>
                <w:rFonts w:ascii="Times New Roman" w:hAnsi="Times New Roman" w:cs="Times New Roman"/>
                <w:sz w:val="16"/>
                <w:szCs w:val="20"/>
              </w:rPr>
            </w:pPr>
            <w:r w:rsidRPr="007A3C9D">
              <w:rPr>
                <w:rFonts w:ascii="Times New Roman" w:hAnsi="Times New Roman" w:cs="Times New Roman"/>
                <w:sz w:val="16"/>
                <w:szCs w:val="20"/>
              </w:rPr>
              <w:t>0.05</w:t>
            </w:r>
          </w:p>
        </w:tc>
        <w:tc>
          <w:tcPr>
            <w:tcW w:w="1518" w:type="dxa"/>
            <w:tcBorders>
              <w:top w:val="nil"/>
              <w:left w:val="nil"/>
              <w:bottom w:val="single" w:sz="12" w:space="0" w:color="00000A"/>
              <w:right w:val="nil"/>
            </w:tcBorders>
            <w:shd w:val="clear" w:color="auto" w:fill="FFFFFF"/>
            <w:vAlign w:val="center"/>
          </w:tcPr>
          <w:p w:rsidR="00227674" w:rsidRPr="007A3C9D" w:rsidRDefault="00227674" w:rsidP="00B9497C">
            <w:pPr>
              <w:spacing w:after="0" w:line="240" w:lineRule="auto"/>
              <w:jc w:val="center"/>
              <w:rPr>
                <w:rFonts w:ascii="Times New Roman" w:hAnsi="Times New Roman" w:cs="Times New Roman"/>
                <w:sz w:val="16"/>
                <w:szCs w:val="20"/>
              </w:rPr>
            </w:pPr>
            <w:r w:rsidRPr="007A3C9D">
              <w:rPr>
                <w:rFonts w:ascii="Times New Roman" w:hAnsi="Times New Roman" w:cs="Times New Roman"/>
                <w:sz w:val="16"/>
                <w:szCs w:val="20"/>
              </w:rPr>
              <w:t>45</w:t>
            </w:r>
          </w:p>
        </w:tc>
      </w:tr>
    </w:tbl>
    <w:p w:rsidR="00227674" w:rsidRPr="007A3C9D" w:rsidRDefault="00227674" w:rsidP="00227674">
      <w:pPr>
        <w:spacing w:after="0" w:line="240" w:lineRule="auto"/>
        <w:rPr>
          <w:rFonts w:ascii="Times New Roman" w:hAnsi="Times New Roman" w:cs="Times New Roman"/>
          <w:sz w:val="16"/>
          <w:szCs w:val="20"/>
        </w:rPr>
      </w:pPr>
      <w:r w:rsidRPr="007A3C9D">
        <w:rPr>
          <w:rFonts w:ascii="Times New Roman" w:hAnsi="Times New Roman" w:cs="Times New Roman"/>
          <w:sz w:val="16"/>
          <w:szCs w:val="20"/>
          <w:vertAlign w:val="superscript"/>
        </w:rPr>
        <w:t>a</w:t>
      </w:r>
      <w:r w:rsidRPr="007A3C9D">
        <w:rPr>
          <w:rFonts w:ascii="Times New Roman" w:hAnsi="Times New Roman" w:cs="Times New Roman"/>
          <w:sz w:val="16"/>
          <w:szCs w:val="20"/>
        </w:rPr>
        <w:t>This figure was not used in the modelling since the UK government believes a CAR of 50% to be the ‘worst case scenario’.</w:t>
      </w:r>
    </w:p>
    <w:p w:rsidR="00227674" w:rsidRPr="007A3C9D" w:rsidRDefault="00227674" w:rsidP="00227674">
      <w:pPr>
        <w:spacing w:after="0" w:line="240" w:lineRule="auto"/>
        <w:rPr>
          <w:rFonts w:ascii="Times New Roman" w:hAnsi="Times New Roman" w:cs="Times New Roman"/>
          <w:sz w:val="16"/>
          <w:szCs w:val="20"/>
        </w:rPr>
      </w:pPr>
      <w:r w:rsidRPr="007A3C9D">
        <w:rPr>
          <w:rFonts w:ascii="Times New Roman" w:hAnsi="Times New Roman" w:cs="Times New Roman"/>
          <w:sz w:val="16"/>
          <w:szCs w:val="20"/>
        </w:rPr>
        <w:t>ROW = Rest of world</w:t>
      </w:r>
    </w:p>
    <w:p w:rsidR="00227674" w:rsidRPr="007A3C9D" w:rsidRDefault="00227674" w:rsidP="00227674">
      <w:pPr>
        <w:spacing w:line="240" w:lineRule="auto"/>
        <w:rPr>
          <w:rFonts w:ascii="Times New Roman" w:hAnsi="Times New Roman" w:cs="Times New Roman"/>
          <w:sz w:val="20"/>
          <w:szCs w:val="20"/>
        </w:rPr>
      </w:pPr>
    </w:p>
    <w:p w:rsidR="00227674" w:rsidRPr="007A3C9D" w:rsidRDefault="00227674" w:rsidP="00227674">
      <w:pPr>
        <w:spacing w:line="240" w:lineRule="auto"/>
        <w:rPr>
          <w:rFonts w:ascii="Times New Roman" w:hAnsi="Times New Roman" w:cs="Times New Roman"/>
          <w:sz w:val="20"/>
          <w:szCs w:val="20"/>
        </w:rPr>
      </w:pPr>
    </w:p>
    <w:p w:rsidR="00227674" w:rsidRPr="007A3C9D" w:rsidRDefault="00227674" w:rsidP="00227674">
      <w:pPr>
        <w:pageBreakBefore/>
        <w:spacing w:line="240" w:lineRule="auto"/>
        <w:rPr>
          <w:rFonts w:ascii="Times New Roman" w:hAnsi="Times New Roman" w:cs="Times New Roman"/>
          <w:sz w:val="20"/>
          <w:szCs w:val="20"/>
        </w:rPr>
      </w:pPr>
    </w:p>
    <w:p w:rsidR="00227674" w:rsidRPr="007A3C9D" w:rsidRDefault="00227674" w:rsidP="00227674">
      <w:pPr>
        <w:spacing w:line="240" w:lineRule="auto"/>
        <w:rPr>
          <w:rFonts w:ascii="Times New Roman" w:hAnsi="Times New Roman" w:cs="Times New Roman"/>
          <w:sz w:val="20"/>
          <w:szCs w:val="20"/>
        </w:rPr>
      </w:pPr>
      <w:r w:rsidRPr="007A3C9D">
        <w:rPr>
          <w:rFonts w:ascii="Times New Roman" w:hAnsi="Times New Roman" w:cs="Times New Roman"/>
          <w:b/>
          <w:sz w:val="20"/>
          <w:szCs w:val="20"/>
        </w:rPr>
        <w:t xml:space="preserve">Figure B1. </w:t>
      </w:r>
      <w:r w:rsidRPr="007A3C9D">
        <w:rPr>
          <w:rFonts w:ascii="Times New Roman" w:hAnsi="Times New Roman" w:cs="Times New Roman"/>
          <w:sz w:val="20"/>
          <w:szCs w:val="20"/>
        </w:rPr>
        <w:t>Estimated densities for clinical attack rate (top left), case fatality ratio (top right), QALY losses associated with a pandemic influenza death (bottom left), and the probability of a pandemic occurring in a decade (bottom right).</w:t>
      </w:r>
    </w:p>
    <w:p w:rsidR="00227674" w:rsidRPr="007A3C9D" w:rsidRDefault="00227674" w:rsidP="00227674">
      <w:pPr>
        <w:spacing w:line="240" w:lineRule="auto"/>
        <w:rPr>
          <w:rFonts w:ascii="Times New Roman" w:hAnsi="Times New Roman" w:cs="Times New Roman"/>
          <w:sz w:val="20"/>
          <w:szCs w:val="20"/>
        </w:rPr>
      </w:pPr>
      <w:r w:rsidRPr="007A3C9D">
        <w:rPr>
          <w:rFonts w:ascii="Times New Roman" w:hAnsi="Times New Roman" w:cs="Times New Roman"/>
          <w:noProof/>
          <w:sz w:val="20"/>
          <w:szCs w:val="20"/>
          <w:lang w:eastAsia="en-GB"/>
        </w:rPr>
        <w:drawing>
          <wp:inline distT="0" distB="0" distL="0" distR="0" wp14:anchorId="50BC52FC" wp14:editId="63C86416">
            <wp:extent cx="5731510" cy="4034790"/>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7"/>
                    <a:stretch>
                      <a:fillRect/>
                    </a:stretch>
                  </pic:blipFill>
                  <pic:spPr bwMode="auto">
                    <a:xfrm>
                      <a:off x="0" y="0"/>
                      <a:ext cx="5731510" cy="4034790"/>
                    </a:xfrm>
                    <a:prstGeom prst="rect">
                      <a:avLst/>
                    </a:prstGeom>
                    <a:noFill/>
                    <a:ln w="9525">
                      <a:noFill/>
                      <a:miter lim="800000"/>
                      <a:headEnd/>
                      <a:tailEnd/>
                    </a:ln>
                  </pic:spPr>
                </pic:pic>
              </a:graphicData>
            </a:graphic>
          </wp:inline>
        </w:drawing>
      </w:r>
    </w:p>
    <w:p w:rsidR="00227674" w:rsidRPr="007A3C9D" w:rsidRDefault="00227674" w:rsidP="00227674">
      <w:pPr>
        <w:spacing w:line="240" w:lineRule="auto"/>
        <w:rPr>
          <w:rFonts w:ascii="Times New Roman" w:hAnsi="Times New Roman" w:cs="Times New Roman"/>
          <w:b/>
          <w:sz w:val="20"/>
          <w:szCs w:val="20"/>
        </w:rPr>
      </w:pPr>
    </w:p>
    <w:p w:rsidR="00227674" w:rsidRDefault="00227674" w:rsidP="00227674">
      <w:pPr>
        <w:suppressAutoHyphens w:val="0"/>
        <w:spacing w:line="240" w:lineRule="auto"/>
        <w:rPr>
          <w:rFonts w:ascii="Times New Roman" w:hAnsi="Times New Roman" w:cs="Times New Roman"/>
          <w:b/>
          <w:sz w:val="20"/>
          <w:szCs w:val="20"/>
        </w:rPr>
      </w:pPr>
      <w:r>
        <w:rPr>
          <w:rFonts w:ascii="Times New Roman" w:hAnsi="Times New Roman" w:cs="Times New Roman"/>
          <w:b/>
          <w:sz w:val="20"/>
          <w:szCs w:val="20"/>
        </w:rPr>
        <w:br w:type="page"/>
      </w:r>
    </w:p>
    <w:p w:rsidR="00227674" w:rsidRPr="007A3C9D" w:rsidRDefault="00227674" w:rsidP="00227674">
      <w:pPr>
        <w:spacing w:line="240" w:lineRule="auto"/>
        <w:rPr>
          <w:rFonts w:ascii="Times New Roman" w:hAnsi="Times New Roman" w:cs="Times New Roman"/>
          <w:sz w:val="20"/>
          <w:szCs w:val="20"/>
        </w:rPr>
      </w:pPr>
      <w:r w:rsidRPr="007A3C9D">
        <w:rPr>
          <w:rFonts w:ascii="Times New Roman" w:hAnsi="Times New Roman" w:cs="Times New Roman"/>
          <w:b/>
          <w:sz w:val="20"/>
          <w:szCs w:val="20"/>
        </w:rPr>
        <w:t xml:space="preserve">Figure B2. </w:t>
      </w:r>
      <w:r w:rsidRPr="007A3C9D">
        <w:rPr>
          <w:rFonts w:ascii="Times New Roman" w:hAnsi="Times New Roman" w:cs="Times New Roman"/>
          <w:sz w:val="20"/>
          <w:szCs w:val="20"/>
        </w:rPr>
        <w:t>Estimated additive bias from five independent reviewers. Biases were assessed across a range of domains. This plot shows total additive biases which can be interpreted as the effect the reviewer would expect to observe if there was no intervention effect in the study.</w:t>
      </w:r>
    </w:p>
    <w:p w:rsidR="00227674" w:rsidRPr="007A3C9D" w:rsidRDefault="00227674" w:rsidP="00227674">
      <w:pPr>
        <w:spacing w:line="240" w:lineRule="auto"/>
        <w:jc w:val="both"/>
        <w:rPr>
          <w:rFonts w:ascii="Times New Roman" w:hAnsi="Times New Roman" w:cs="Times New Roman"/>
          <w:sz w:val="20"/>
          <w:szCs w:val="20"/>
        </w:rPr>
      </w:pPr>
      <w:r w:rsidRPr="007A3C9D">
        <w:rPr>
          <w:rFonts w:ascii="Times New Roman" w:hAnsi="Times New Roman" w:cs="Times New Roman"/>
          <w:noProof/>
          <w:sz w:val="20"/>
          <w:szCs w:val="20"/>
          <w:lang w:eastAsia="en-GB"/>
        </w:rPr>
        <w:drawing>
          <wp:inline distT="0" distB="0" distL="0" distR="0" wp14:anchorId="19B49854" wp14:editId="40449D6A">
            <wp:extent cx="5731510" cy="398970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8"/>
                    <a:stretch>
                      <a:fillRect/>
                    </a:stretch>
                  </pic:blipFill>
                  <pic:spPr bwMode="auto">
                    <a:xfrm>
                      <a:off x="0" y="0"/>
                      <a:ext cx="5731510" cy="3989705"/>
                    </a:xfrm>
                    <a:prstGeom prst="rect">
                      <a:avLst/>
                    </a:prstGeom>
                    <a:noFill/>
                    <a:ln w="9525">
                      <a:noFill/>
                      <a:miter lim="800000"/>
                      <a:headEnd/>
                      <a:tailEnd/>
                    </a:ln>
                  </pic:spPr>
                </pic:pic>
              </a:graphicData>
            </a:graphic>
          </wp:inline>
        </w:drawing>
      </w:r>
    </w:p>
    <w:p w:rsidR="00227674" w:rsidRPr="007A3C9D" w:rsidRDefault="00227674" w:rsidP="00227674">
      <w:pPr>
        <w:spacing w:line="240" w:lineRule="auto"/>
        <w:rPr>
          <w:rFonts w:ascii="Times New Roman" w:hAnsi="Times New Roman" w:cs="Times New Roman"/>
          <w:b/>
          <w:sz w:val="20"/>
          <w:szCs w:val="20"/>
        </w:rPr>
      </w:pPr>
    </w:p>
    <w:p w:rsidR="00227674" w:rsidRPr="007A3C9D" w:rsidRDefault="00227674" w:rsidP="00227674">
      <w:pPr>
        <w:spacing w:line="240" w:lineRule="auto"/>
        <w:rPr>
          <w:rFonts w:ascii="Times New Roman" w:hAnsi="Times New Roman" w:cs="Times New Roman"/>
          <w:sz w:val="20"/>
          <w:szCs w:val="20"/>
        </w:rPr>
      </w:pPr>
    </w:p>
    <w:p w:rsidR="00227674" w:rsidRPr="00F76E6B" w:rsidRDefault="00227674" w:rsidP="00227674">
      <w:pPr>
        <w:spacing w:line="240" w:lineRule="auto"/>
        <w:rPr>
          <w:rFonts w:ascii="Times New Roman" w:hAnsi="Times New Roman" w:cs="Times New Roman"/>
          <w:b/>
          <w:sz w:val="20"/>
          <w:szCs w:val="20"/>
        </w:rPr>
      </w:pPr>
      <w:r w:rsidRPr="00F76E6B">
        <w:rPr>
          <w:rFonts w:ascii="Times New Roman" w:hAnsi="Times New Roman" w:cs="Times New Roman"/>
          <w:b/>
          <w:sz w:val="20"/>
          <w:szCs w:val="20"/>
        </w:rPr>
        <w:t>References</w:t>
      </w:r>
    </w:p>
    <w:p w:rsidR="00227674" w:rsidRPr="00F76E6B" w:rsidRDefault="00227674" w:rsidP="00F76E6B">
      <w:pPr>
        <w:pStyle w:val="ListParagraph"/>
        <w:numPr>
          <w:ilvl w:val="0"/>
          <w:numId w:val="1"/>
        </w:numPr>
        <w:spacing w:line="240" w:lineRule="auto"/>
        <w:rPr>
          <w:rFonts w:ascii="Times New Roman" w:hAnsi="Times New Roman" w:cs="Times New Roman"/>
          <w:noProof/>
          <w:sz w:val="20"/>
          <w:szCs w:val="20"/>
        </w:rPr>
      </w:pPr>
      <w:r w:rsidRPr="00F76E6B">
        <w:rPr>
          <w:rFonts w:ascii="Times New Roman" w:hAnsi="Times New Roman" w:cs="Times New Roman"/>
          <w:noProof/>
          <w:sz w:val="20"/>
          <w:szCs w:val="20"/>
        </w:rPr>
        <w:t>Department of Health. Scientific Summary of Pandemic Influenza &amp; its Mitigation. London: 2011. https://www.gov.uk/government/uploads/system/uploads/attachmen</w:t>
      </w:r>
      <w:r w:rsidR="0037529E" w:rsidRPr="00F76E6B">
        <w:rPr>
          <w:rFonts w:ascii="Times New Roman" w:hAnsi="Times New Roman" w:cs="Times New Roman"/>
          <w:noProof/>
          <w:sz w:val="20"/>
          <w:szCs w:val="20"/>
        </w:rPr>
        <w:t>t_data/file/215666/dh_125333.pdf</w:t>
      </w:r>
      <w:r w:rsidRPr="00F76E6B">
        <w:rPr>
          <w:rFonts w:ascii="Times New Roman" w:hAnsi="Times New Roman" w:cs="Times New Roman"/>
          <w:noProof/>
          <w:sz w:val="20"/>
          <w:szCs w:val="20"/>
        </w:rPr>
        <w:t>. Date accessed: 24 September 2015</w:t>
      </w:r>
    </w:p>
    <w:p w:rsidR="00F76E6B" w:rsidRPr="00F76E6B" w:rsidRDefault="00F76E6B" w:rsidP="00F76E6B">
      <w:pPr>
        <w:pStyle w:val="ListParagraph"/>
        <w:numPr>
          <w:ilvl w:val="0"/>
          <w:numId w:val="1"/>
        </w:numPr>
        <w:spacing w:line="240" w:lineRule="auto"/>
        <w:rPr>
          <w:rFonts w:ascii="Times New Roman" w:hAnsi="Times New Roman" w:cs="Times New Roman"/>
          <w:sz w:val="20"/>
          <w:szCs w:val="20"/>
        </w:rPr>
      </w:pPr>
      <w:r w:rsidRPr="00F76E6B">
        <w:rPr>
          <w:rFonts w:ascii="Times New Roman" w:hAnsi="Times New Roman" w:cs="Times New Roman"/>
          <w:sz w:val="20"/>
          <w:szCs w:val="20"/>
        </w:rPr>
        <w:t>Grant RL. Converting an odds ratio to a range of plausible relative risks for better communication of research findings. Bmj 2014;</w:t>
      </w:r>
      <w:r w:rsidRPr="00F76E6B">
        <w:rPr>
          <w:rFonts w:ascii="Times New Roman" w:hAnsi="Times New Roman" w:cs="Times New Roman"/>
          <w:b/>
          <w:sz w:val="20"/>
          <w:szCs w:val="20"/>
        </w:rPr>
        <w:t>348</w:t>
      </w:r>
      <w:r w:rsidRPr="00F76E6B">
        <w:rPr>
          <w:rFonts w:ascii="Times New Roman" w:hAnsi="Times New Roman" w:cs="Times New Roman"/>
          <w:sz w:val="20"/>
          <w:szCs w:val="20"/>
        </w:rPr>
        <w:t>:f7450–f7450.</w:t>
      </w:r>
    </w:p>
    <w:p w:rsidR="00227674" w:rsidRPr="00B74A8F" w:rsidRDefault="00227674" w:rsidP="00020945">
      <w:pPr>
        <w:spacing w:line="240" w:lineRule="auto"/>
        <w:rPr>
          <w:rFonts w:ascii="Times New Roman" w:hAnsi="Times New Roman" w:cs="Times New Roman"/>
          <w:sz w:val="20"/>
          <w:szCs w:val="20"/>
        </w:rPr>
      </w:pPr>
    </w:p>
    <w:sectPr w:rsidR="00227674" w:rsidRPr="00B74A8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85C" w:rsidRDefault="001C785C" w:rsidP="00164FE5">
      <w:pPr>
        <w:spacing w:after="0" w:line="240" w:lineRule="auto"/>
      </w:pPr>
      <w:r>
        <w:separator/>
      </w:r>
    </w:p>
  </w:endnote>
  <w:endnote w:type="continuationSeparator" w:id="0">
    <w:p w:rsidR="001C785C" w:rsidRDefault="001C785C" w:rsidP="0016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478757"/>
      <w:docPartObj>
        <w:docPartGallery w:val="Page Numbers (Bottom of Page)"/>
        <w:docPartUnique/>
      </w:docPartObj>
    </w:sdtPr>
    <w:sdtEndPr>
      <w:rPr>
        <w:rFonts w:ascii="Times New Roman" w:hAnsi="Times New Roman" w:cs="Times New Roman"/>
        <w:noProof/>
      </w:rPr>
    </w:sdtEndPr>
    <w:sdtContent>
      <w:p w:rsidR="00164FE5" w:rsidRPr="00164FE5" w:rsidRDefault="00164FE5">
        <w:pPr>
          <w:pStyle w:val="Footer"/>
          <w:jc w:val="center"/>
          <w:rPr>
            <w:rFonts w:ascii="Times New Roman" w:hAnsi="Times New Roman" w:cs="Times New Roman"/>
          </w:rPr>
        </w:pPr>
        <w:r w:rsidRPr="00164FE5">
          <w:rPr>
            <w:rFonts w:ascii="Times New Roman" w:hAnsi="Times New Roman" w:cs="Times New Roman"/>
          </w:rPr>
          <w:fldChar w:fldCharType="begin"/>
        </w:r>
        <w:r w:rsidRPr="00164FE5">
          <w:rPr>
            <w:rFonts w:ascii="Times New Roman" w:hAnsi="Times New Roman" w:cs="Times New Roman"/>
          </w:rPr>
          <w:instrText xml:space="preserve"> PAGE   \* MERGEFORMAT </w:instrText>
        </w:r>
        <w:r w:rsidRPr="00164FE5">
          <w:rPr>
            <w:rFonts w:ascii="Times New Roman" w:hAnsi="Times New Roman" w:cs="Times New Roman"/>
          </w:rPr>
          <w:fldChar w:fldCharType="separate"/>
        </w:r>
        <w:r w:rsidR="007078FA">
          <w:rPr>
            <w:rFonts w:ascii="Times New Roman" w:hAnsi="Times New Roman" w:cs="Times New Roman"/>
            <w:noProof/>
          </w:rPr>
          <w:t>1</w:t>
        </w:r>
        <w:r w:rsidRPr="00164FE5">
          <w:rPr>
            <w:rFonts w:ascii="Times New Roman" w:hAnsi="Times New Roman" w:cs="Times New Roman"/>
            <w:noProof/>
          </w:rPr>
          <w:fldChar w:fldCharType="end"/>
        </w:r>
      </w:p>
    </w:sdtContent>
  </w:sdt>
  <w:p w:rsidR="00164FE5" w:rsidRDefault="00164F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85C" w:rsidRDefault="001C785C" w:rsidP="00164FE5">
      <w:pPr>
        <w:spacing w:after="0" w:line="240" w:lineRule="auto"/>
      </w:pPr>
      <w:r>
        <w:separator/>
      </w:r>
    </w:p>
  </w:footnote>
  <w:footnote w:type="continuationSeparator" w:id="0">
    <w:p w:rsidR="001C785C" w:rsidRDefault="001C785C" w:rsidP="00164F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66CD7"/>
    <w:multiLevelType w:val="hybridMultilevel"/>
    <w:tmpl w:val="1A3A819C"/>
    <w:lvl w:ilvl="0" w:tplc="B8A66A64">
      <w:start w:val="1"/>
      <w:numFmt w:val="decimal"/>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DDF"/>
    <w:rsid w:val="00020945"/>
    <w:rsid w:val="000A36B5"/>
    <w:rsid w:val="00164FE5"/>
    <w:rsid w:val="001C785C"/>
    <w:rsid w:val="00227674"/>
    <w:rsid w:val="00315B74"/>
    <w:rsid w:val="0037529E"/>
    <w:rsid w:val="005729CF"/>
    <w:rsid w:val="007078FA"/>
    <w:rsid w:val="00915797"/>
    <w:rsid w:val="009706D0"/>
    <w:rsid w:val="00B74A8F"/>
    <w:rsid w:val="00BC6DDF"/>
    <w:rsid w:val="00C13F50"/>
    <w:rsid w:val="00E0138A"/>
    <w:rsid w:val="00F1756D"/>
    <w:rsid w:val="00F76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E82D8-AF9F-447E-9DF2-E9692AD6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DDF"/>
    <w:pPr>
      <w:suppressAutoHyphens/>
      <w:spacing w:line="252" w:lineRule="auto"/>
    </w:pPr>
    <w:rPr>
      <w:rFonts w:ascii="Calibri" w:eastAsia="Droid Sans Fallback" w:hAnsi="Calibri" w:cs="Calibri"/>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F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FE5"/>
    <w:rPr>
      <w:rFonts w:ascii="Calibri" w:eastAsia="Droid Sans Fallback" w:hAnsi="Calibri" w:cs="Calibri"/>
      <w:color w:val="00000A"/>
    </w:rPr>
  </w:style>
  <w:style w:type="paragraph" w:styleId="Footer">
    <w:name w:val="footer"/>
    <w:basedOn w:val="Normal"/>
    <w:link w:val="FooterChar"/>
    <w:uiPriority w:val="99"/>
    <w:unhideWhenUsed/>
    <w:rsid w:val="00164F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FE5"/>
    <w:rPr>
      <w:rFonts w:ascii="Calibri" w:eastAsia="Droid Sans Fallback" w:hAnsi="Calibri" w:cs="Calibri"/>
      <w:color w:val="00000A"/>
    </w:rPr>
  </w:style>
  <w:style w:type="paragraph" w:styleId="ListParagraph">
    <w:name w:val="List Paragraph"/>
    <w:basedOn w:val="Normal"/>
    <w:uiPriority w:val="34"/>
    <w:qFormat/>
    <w:rsid w:val="00F76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2086</Words>
  <Characters>11892</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dc:creator>
  <cp:keywords/>
  <dc:description/>
  <cp:lastModifiedBy>Theo Isaac</cp:lastModifiedBy>
  <cp:revision>2</cp:revision>
  <cp:lastPrinted>2015-11-12T13:18:00Z</cp:lastPrinted>
  <dcterms:created xsi:type="dcterms:W3CDTF">2017-03-13T17:18:00Z</dcterms:created>
  <dcterms:modified xsi:type="dcterms:W3CDTF">2017-03-13T17:18:00Z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s.i.watson@warwick.ac.uk@www.mendeley.com</vt:lpwstr>
  </property>
  <property fmtid="{D5CDD505-2E9C-101B-9397-08002B2CF9AE}" pid="4" name="Mendeley Citation Style_1">
    <vt:lpwstr>http://www.zotero.org/styles/bmc-medical-research-methodology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http://www.zotero.org/styles/bmc-medical-research-methodology</vt:lpwstr>
  </property>
  <property fmtid="{D5CDD505-2E9C-101B-9397-08002B2CF9AE}" pid="14" name="Mendeley Recent Style Name 4_1">
    <vt:lpwstr>BMC Medical Research Methodology</vt:lpwstr>
  </property>
  <property fmtid="{D5CDD505-2E9C-101B-9397-08002B2CF9AE}" pid="15" name="Mendeley Recent Style Id 5_1">
    <vt:lpwstr>http://www.zotero.org/styles/bmc-medicine</vt:lpwstr>
  </property>
  <property fmtid="{D5CDD505-2E9C-101B-9397-08002B2CF9AE}" pid="16" name="Mendeley Recent Style Name 5_1">
    <vt:lpwstr>BMC Medicine</vt:lpwstr>
  </property>
  <property fmtid="{D5CDD505-2E9C-101B-9397-08002B2CF9AE}" pid="17" name="Mendeley Recent Style Id 6_1">
    <vt:lpwstr>http://www.zotero.org/styles/bmj</vt:lpwstr>
  </property>
  <property fmtid="{D5CDD505-2E9C-101B-9397-08002B2CF9AE}" pid="18" name="Mendeley Recent Style Name 6_1">
    <vt:lpwstr>BMJ</vt:lpwstr>
  </property>
  <property fmtid="{D5CDD505-2E9C-101B-9397-08002B2CF9AE}" pid="19" name="Mendeley Recent Style Id 7_1">
    <vt:lpwstr>http://www.zotero.org/styles/chicago-author-date</vt:lpwstr>
  </property>
  <property fmtid="{D5CDD505-2E9C-101B-9397-08002B2CF9AE}" pid="20" name="Mendeley Recent Style Name 7_1">
    <vt:lpwstr>Chicago Manual of Style 16th edition (author-date)</vt:lpwstr>
  </property>
  <property fmtid="{D5CDD505-2E9C-101B-9397-08002B2CF9AE}" pid="21" name="Mendeley Recent Style Id 8_1">
    <vt:lpwstr>http://www.zotero.org/styles/the-lancet</vt:lpwstr>
  </property>
  <property fmtid="{D5CDD505-2E9C-101B-9397-08002B2CF9AE}" pid="22" name="Mendeley Recent Style Name 8_1">
    <vt:lpwstr>The Lancet</vt:lpwstr>
  </property>
  <property fmtid="{D5CDD505-2E9C-101B-9397-08002B2CF9AE}" pid="23" name="Mendeley Recent Style Id 9_1">
    <vt:lpwstr>http://csl.mendeley.com/styles/4566841/the-lancet</vt:lpwstr>
  </property>
  <property fmtid="{D5CDD505-2E9C-101B-9397-08002B2CF9AE}" pid="24" name="Mendeley Recent Style Name 9_1">
    <vt:lpwstr>The Lancet - Sam Watson</vt:lpwstr>
  </property>
</Properties>
</file>